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0 -->
  <w:body>
    <w:p>
      <w:pPr>
        <w:spacing w:before="0" w:after="0"/>
        <w:jc w:val="center"/>
      </w:pPr>
      <w:r>
        <w:rPr>
          <w:strike w:val="0"/>
          <w:u w:val="none"/>
        </w:rPr>
        <w:drawing>
          <wp:anchor simplePos="0" relativeHeight="251658240" behindDoc="1" locked="0" layoutInCell="1" allowOverlap="1">
            <wp:simplePos x="0" y="0"/>
            <wp:positionH relativeFrom="column">
              <wp:posOffset>-314325</wp:posOffset>
            </wp:positionH>
            <wp:positionV relativeFrom="paragraph">
              <wp:posOffset>-123825</wp:posOffset>
            </wp:positionV>
            <wp:extent cx="1447800" cy="1190625"/>
            <wp:wrapNone/>
            <wp:docPr id="100001" name=""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447800" cy="1190625"/>
                    </a:xfrm>
                    <a:prstGeom prst="rect">
                      <a:avLst/>
                    </a:prstGeom>
                  </pic:spPr>
                </pic:pic>
              </a:graphicData>
            </a:graphic>
          </wp:anchor>
        </w:drawing>
      </w:r>
      <w:r>
        <w:rPr>
          <w:rFonts w:ascii="Arial" w:eastAsia="Arial" w:hAnsi="Arial" w:cs="Arial"/>
          <w:b/>
          <w:bCs/>
          <w:color w:val="FF0000"/>
        </w:rPr>
        <w:t>DRAFT</w:t>
      </w:r>
    </w:p>
    <w:p>
      <w:pPr>
        <w:spacing w:before="0" w:after="0"/>
        <w:jc w:val="center"/>
      </w:pPr>
      <w:r>
        <w:rPr>
          <w:rFonts w:ascii="Arial" w:eastAsia="Arial" w:hAnsi="Arial" w:cs="Arial"/>
          <w:b/>
          <w:bCs/>
        </w:rPr>
        <w:t>MEETING MINUTES</w:t>
      </w:r>
    </w:p>
    <w:p>
      <w:pPr>
        <w:spacing w:before="0" w:after="0"/>
        <w:jc w:val="center"/>
      </w:pPr>
      <w:r>
        <w:rPr>
          <w:rFonts w:ascii="Arial" w:eastAsia="Arial" w:hAnsi="Arial" w:cs="Arial"/>
          <w:b/>
          <w:bCs/>
        </w:rPr>
        <w:t>CITY OF FORT LAUDERDALE</w:t>
      </w:r>
    </w:p>
    <w:p>
      <w:pPr>
        <w:spacing w:before="0" w:after="0"/>
        <w:jc w:val="center"/>
      </w:pPr>
      <w:r>
        <w:rPr>
          <w:rFonts w:ascii="Arial" w:eastAsia="Arial" w:hAnsi="Arial" w:cs="Arial"/>
          <w:b/>
          <w:bCs/>
        </w:rPr>
        <w:t>CHARTER REVISION BOARD</w:t>
      </w:r>
    </w:p>
    <w:p>
      <w:pPr>
        <w:spacing w:before="0" w:after="0"/>
        <w:jc w:val="center"/>
      </w:pPr>
      <w:r>
        <w:rPr>
          <w:rFonts w:ascii="Arial" w:eastAsia="Arial" w:hAnsi="Arial" w:cs="Arial"/>
          <w:b/>
          <w:bCs/>
        </w:rPr>
        <w:t>FORT LAUDERDALE EXECUTIVE AIRPORT</w:t>
      </w:r>
    </w:p>
    <w:p>
      <w:pPr>
        <w:spacing w:before="0" w:after="0"/>
        <w:jc w:val="center"/>
      </w:pPr>
      <w:r>
        <w:rPr>
          <w:rFonts w:ascii="Arial" w:eastAsia="Arial" w:hAnsi="Arial" w:cs="Arial"/>
          <w:b/>
          <w:bCs/>
        </w:rPr>
        <w:t>RED TAILS CONFERENCE ROOM</w:t>
      </w:r>
    </w:p>
    <w:p>
      <w:pPr>
        <w:spacing w:before="0" w:after="0"/>
        <w:jc w:val="center"/>
      </w:pPr>
      <w:r>
        <w:rPr>
          <w:rFonts w:ascii="Arial" w:eastAsia="Arial" w:hAnsi="Arial" w:cs="Arial"/>
          <w:b/>
          <w:bCs/>
        </w:rPr>
        <w:t>6000 NW 21</w:t>
      </w:r>
      <w:r>
        <w:rPr>
          <w:rFonts w:ascii="Arial" w:eastAsia="Arial" w:hAnsi="Arial" w:cs="Arial"/>
          <w:b/>
          <w:bCs/>
          <w:vertAlign w:val="superscript"/>
        </w:rPr>
        <w:t>ST</w:t>
      </w:r>
      <w:r>
        <w:rPr>
          <w:rFonts w:ascii="Arial" w:eastAsia="Arial" w:hAnsi="Arial" w:cs="Arial"/>
          <w:b/>
          <w:bCs/>
        </w:rPr>
        <w:t xml:space="preserve"> AVENUE, FORT LAUDERDALE, FLORIDA 33309</w:t>
      </w:r>
    </w:p>
    <w:p>
      <w:pPr>
        <w:spacing w:before="0" w:after="0"/>
        <w:jc w:val="center"/>
      </w:pPr>
      <w:r>
        <w:rPr>
          <w:rFonts w:ascii="Arial" w:eastAsia="Arial" w:hAnsi="Arial" w:cs="Arial"/>
          <w:b/>
          <w:bCs/>
        </w:rPr>
        <w:t>THURSDAY, SEPTEMBER 7, 2023 – 5:30 P.M.</w:t>
      </w:r>
    </w:p>
    <w:p>
      <w:pPr>
        <w:spacing w:before="0" w:after="0"/>
        <w:jc w:val="both"/>
        <w:rPr>
          <w:rFonts w:ascii="Arial" w:eastAsia="Arial" w:hAnsi="Arial" w:cs="Arial"/>
          <w:sz w:val="24"/>
          <w:szCs w:val="24"/>
        </w:rPr>
      </w:pPr>
    </w:p>
    <w:tbl>
      <w:tblPr>
        <w:tblCellMar>
          <w:top w:w="0" w:type="dxa"/>
          <w:left w:w="0" w:type="dxa"/>
          <w:bottom w:w="0" w:type="dxa"/>
          <w:right w:w="0" w:type="dxa"/>
        </w:tblCellMar>
      </w:tblPr>
      <w:tblGrid>
        <w:gridCol w:w="3992"/>
        <w:gridCol w:w="1856"/>
        <w:gridCol w:w="3512"/>
      </w:tblGrid>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Cumulative Attendance</w:t>
            </w:r>
          </w:p>
        </w:tc>
      </w:tr>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January-December 2023</w:t>
            </w:r>
          </w:p>
        </w:tc>
      </w:tr>
    </w:tbl>
    <w:p>
      <w:pPr>
        <w:spacing w:before="0" w:after="0"/>
        <w:rPr>
          <w:rFonts w:ascii="Arial" w:eastAsia="Arial" w:hAnsi="Arial" w:cs="Arial"/>
          <w:sz w:val="24"/>
          <w:szCs w:val="24"/>
        </w:rPr>
      </w:pPr>
    </w:p>
    <w:p>
      <w:pPr>
        <w:spacing w:before="0" w:after="0"/>
        <w:rPr>
          <w:rFonts w:ascii="Times New Roman" w:eastAsia="Times New Roman" w:hAnsi="Times New Roman" w:cs="Times New Roman"/>
          <w:sz w:val="24"/>
          <w:szCs w:val="24"/>
        </w:rPr>
      </w:pPr>
      <w:r>
        <w:rPr>
          <w:rFonts w:ascii="Arial" w:eastAsia="Arial" w:hAnsi="Arial" w:cs="Arial"/>
        </w:rPr>
        <w:t xml:space="preserve">Judith Stern, Chair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Christopher Fertig, Vice Chair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 xml:space="preserve">Harrison Grandwilliams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1</w:t>
      </w:r>
    </w:p>
    <w:p>
      <w:pPr>
        <w:spacing w:before="0" w:after="0"/>
        <w:rPr>
          <w:rFonts w:ascii="Times New Roman" w:eastAsia="Times New Roman" w:hAnsi="Times New Roman" w:cs="Times New Roman"/>
          <w:sz w:val="24"/>
          <w:szCs w:val="24"/>
        </w:rPr>
      </w:pPr>
      <w:r>
        <w:rPr>
          <w:rFonts w:ascii="Arial" w:eastAsia="Arial" w:hAnsi="Arial" w:cs="Arial"/>
        </w:rPr>
        <w:t xml:space="preserve">Ben Sorensen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Richard Weiss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Arial" w:eastAsia="Arial" w:hAnsi="Arial" w:cs="Arial"/>
          <w:sz w:val="24"/>
          <w:szCs w:val="24"/>
        </w:rPr>
      </w:pPr>
    </w:p>
    <w:p>
      <w:pPr>
        <w:spacing w:before="0" w:after="0"/>
        <w:jc w:val="both"/>
      </w:pPr>
      <w:r>
        <w:rPr>
          <w:rFonts w:ascii="Arial" w:eastAsia="Arial" w:hAnsi="Arial" w:cs="Arial"/>
          <w:b/>
          <w:bCs/>
          <w:u w:val="single"/>
        </w:rPr>
        <w:t>Staff</w:t>
      </w:r>
    </w:p>
    <w:p>
      <w:pPr>
        <w:spacing w:before="0" w:after="0"/>
        <w:jc w:val="both"/>
      </w:pPr>
      <w:r>
        <w:rPr>
          <w:rFonts w:ascii="Arial" w:eastAsia="Arial" w:hAnsi="Arial" w:cs="Arial"/>
        </w:rPr>
        <w:t>Junia J. Robinson, Assistant Neighbor Support Manager, MPA</w:t>
      </w:r>
    </w:p>
    <w:p>
      <w:pPr>
        <w:spacing w:before="0" w:after="0"/>
        <w:jc w:val="both"/>
      </w:pPr>
      <w:r>
        <w:rPr>
          <w:rFonts w:ascii="Arial" w:eastAsia="Arial" w:hAnsi="Arial" w:cs="Arial"/>
        </w:rPr>
        <w:t>Paul Bangel, Assistant City Attorney</w:t>
      </w:r>
    </w:p>
    <w:p>
      <w:pPr>
        <w:spacing w:before="0" w:after="0"/>
        <w:jc w:val="both"/>
      </w:pPr>
      <w:r>
        <w:rPr>
          <w:rFonts w:ascii="Arial" w:eastAsia="Arial" w:hAnsi="Arial" w:cs="Arial"/>
        </w:rPr>
        <w:t>Anthony Fajardo, Assistant City Manager</w:t>
      </w:r>
    </w:p>
    <w:p>
      <w:pPr>
        <w:spacing w:before="0" w:after="0"/>
        <w:jc w:val="both"/>
        <w:rPr>
          <w:rFonts w:ascii="Arial" w:eastAsia="Arial" w:hAnsi="Arial" w:cs="Arial"/>
          <w:sz w:val="24"/>
          <w:szCs w:val="24"/>
        </w:rPr>
      </w:pPr>
    </w:p>
    <w:p>
      <w:pPr>
        <w:spacing w:before="0" w:after="0"/>
        <w:jc w:val="both"/>
      </w:pPr>
      <w:r>
        <w:rPr>
          <w:rFonts w:ascii="Arial" w:eastAsia="Arial" w:hAnsi="Arial" w:cs="Arial"/>
          <w:b/>
          <w:bCs/>
          <w:u w:val="single"/>
        </w:rPr>
        <w:t>Communications to City Commission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None.</w:t>
      </w:r>
    </w:p>
    <w:p>
      <w:pPr>
        <w:spacing w:before="0" w:after="0"/>
        <w:jc w:val="both"/>
        <w:rPr>
          <w:rFonts w:ascii="Arial" w:eastAsia="Arial" w:hAnsi="Arial" w:cs="Arial"/>
          <w:sz w:val="24"/>
          <w:szCs w:val="24"/>
        </w:rPr>
      </w:pPr>
    </w:p>
    <w:p>
      <w:pPr>
        <w:numPr>
          <w:ilvl w:val="0"/>
          <w:numId w:val="1"/>
        </w:numPr>
        <w:pBdr>
          <w:left w:val="none" w:sz="0" w:space="24" w:color="auto"/>
        </w:pBdr>
        <w:spacing w:before="0" w:after="0"/>
        <w:ind w:left="1080" w:right="0" w:hanging="720"/>
        <w:jc w:val="both"/>
        <w:rPr>
          <w:rFonts w:ascii="Arial" w:eastAsia="Arial" w:hAnsi="Arial" w:cs="Arial"/>
          <w:b/>
          <w:bCs/>
        </w:rPr>
      </w:pPr>
      <w:r>
        <w:rPr>
          <w:rFonts w:ascii="Arial" w:eastAsia="Arial" w:hAnsi="Arial" w:cs="Arial"/>
          <w:b/>
          <w:bCs/>
        </w:rPr>
        <w:t>CALL TO ORDER / PLEDGE OF ALLEGIANCE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called the meeting to order at 5:33 p.m. </w:t>
      </w:r>
    </w:p>
    <w:p>
      <w:pPr>
        <w:spacing w:before="0" w:after="0"/>
        <w:jc w:val="both"/>
        <w:rPr>
          <w:rFonts w:ascii="Arial" w:eastAsia="Arial" w:hAnsi="Arial" w:cs="Arial"/>
          <w:sz w:val="24"/>
          <w:szCs w:val="24"/>
        </w:rPr>
      </w:pPr>
    </w:p>
    <w:p>
      <w:pPr>
        <w:numPr>
          <w:ilvl w:val="0"/>
          <w:numId w:val="2"/>
        </w:numPr>
        <w:pBdr>
          <w:left w:val="none" w:sz="0" w:space="21" w:color="auto"/>
        </w:pBdr>
        <w:spacing w:before="0" w:after="0"/>
        <w:ind w:left="1080" w:right="0" w:hanging="720"/>
        <w:jc w:val="both"/>
        <w:rPr>
          <w:rFonts w:ascii="Arial" w:eastAsia="Arial" w:hAnsi="Arial" w:cs="Arial"/>
          <w:b/>
          <w:bCs/>
        </w:rPr>
      </w:pPr>
      <w:r>
        <w:rPr>
          <w:rFonts w:ascii="Arial" w:eastAsia="Arial" w:hAnsi="Arial" w:cs="Arial"/>
          <w:b/>
          <w:bCs/>
        </w:rPr>
        <w:t>DETERMINATION OF QUORUM</w:t>
      </w:r>
    </w:p>
    <w:p>
      <w:pPr>
        <w:spacing w:before="0" w:after="0"/>
        <w:jc w:val="both"/>
        <w:rPr>
          <w:rFonts w:ascii="Arial" w:eastAsia="Arial" w:hAnsi="Arial" w:cs="Arial"/>
          <w:sz w:val="24"/>
          <w:szCs w:val="24"/>
        </w:rPr>
      </w:pPr>
    </w:p>
    <w:p>
      <w:pPr>
        <w:spacing w:before="0" w:after="0"/>
        <w:jc w:val="both"/>
      </w:pPr>
      <w:r>
        <w:rPr>
          <w:rFonts w:ascii="Arial" w:eastAsia="Arial" w:hAnsi="Arial" w:cs="Arial"/>
        </w:rPr>
        <w:t>It was noted a quorum was present at the meeting.</w:t>
      </w:r>
    </w:p>
    <w:p>
      <w:pPr>
        <w:spacing w:before="0" w:after="0"/>
        <w:jc w:val="both"/>
        <w:rPr>
          <w:rFonts w:ascii="Arial" w:eastAsia="Arial" w:hAnsi="Arial" w:cs="Arial"/>
          <w:sz w:val="24"/>
          <w:szCs w:val="24"/>
        </w:rPr>
      </w:pPr>
    </w:p>
    <w:p>
      <w:pPr>
        <w:numPr>
          <w:ilvl w:val="0"/>
          <w:numId w:val="3"/>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APPROVAL OF JULY 06</w:t>
      </w:r>
      <w:r>
        <w:rPr>
          <w:rFonts w:ascii="Arial" w:eastAsia="Arial" w:hAnsi="Arial" w:cs="Arial"/>
          <w:b/>
          <w:bCs/>
          <w:vertAlign w:val="superscript"/>
        </w:rPr>
        <w:t>ST</w:t>
      </w:r>
      <w:r>
        <w:rPr>
          <w:rFonts w:ascii="Arial" w:eastAsia="Arial" w:hAnsi="Arial" w:cs="Arial"/>
          <w:b/>
          <w:bCs/>
        </w:rPr>
        <w:t xml:space="preserve"> 2023 MEETING MINUTES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clarified that a comment made at the July 6, 2023 meeting regarding leases should include the suggestion of a sliding scale for leases based upon the time frame of the lease. Chair Stern also recalled that the Board had discussed doing away with licensing agreements, as there had been concern that this could be used as a way to circumvent the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and duly seconded, to approve. In a voice vote, the </w:t>
      </w:r>
      <w:r>
        <w:rPr>
          <w:rFonts w:ascii="Arial" w:eastAsia="Arial" w:hAnsi="Arial" w:cs="Arial"/>
          <w:b/>
          <w:bCs/>
        </w:rPr>
        <w:t>motion</w:t>
      </w:r>
      <w:r>
        <w:rPr>
          <w:rFonts w:ascii="Arial" w:eastAsia="Arial" w:hAnsi="Arial" w:cs="Arial"/>
        </w:rPr>
        <w:t xml:space="preserve"> passed unanimously. </w:t>
      </w:r>
    </w:p>
    <w:p>
      <w:pPr>
        <w:spacing w:before="0" w:after="0"/>
        <w:jc w:val="both"/>
        <w:rPr>
          <w:rFonts w:ascii="Arial" w:eastAsia="Arial" w:hAnsi="Arial" w:cs="Arial"/>
          <w:sz w:val="24"/>
          <w:szCs w:val="24"/>
        </w:rPr>
      </w:pPr>
    </w:p>
    <w:p>
      <w:pPr>
        <w:numPr>
          <w:ilvl w:val="0"/>
          <w:numId w:val="4"/>
        </w:numPr>
        <w:pBdr>
          <w:left w:val="none" w:sz="0" w:space="16" w:color="auto"/>
        </w:pBdr>
        <w:spacing w:before="0" w:after="0"/>
        <w:ind w:left="1080" w:right="0" w:hanging="720"/>
        <w:jc w:val="both"/>
        <w:rPr>
          <w:rFonts w:ascii="Arial" w:eastAsia="Arial" w:hAnsi="Arial" w:cs="Arial"/>
          <w:b/>
          <w:bCs/>
        </w:rPr>
      </w:pPr>
      <w:r>
        <w:rPr>
          <w:rFonts w:ascii="Arial" w:eastAsia="Arial" w:hAnsi="Arial" w:cs="Arial"/>
          <w:b/>
          <w:bCs/>
        </w:rPr>
        <w:t>REVIEW AND DISCUSS CITY CHARTER</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explained that the Board will now begin reviewing the Charter Article by Article, and as other topics arise, they will address those topics in the context of the Article they are discussing at that time. </w:t>
      </w:r>
    </w:p>
    <w:p>
      <w:pPr>
        <w:spacing w:before="0" w:after="0"/>
        <w:jc w:val="both"/>
        <w:rPr>
          <w:rFonts w:ascii="Arial" w:eastAsia="Arial" w:hAnsi="Arial" w:cs="Arial"/>
          <w:sz w:val="24"/>
          <w:szCs w:val="24"/>
        </w:rPr>
      </w:pPr>
    </w:p>
    <w:p>
      <w:pPr>
        <w:spacing w:before="0" w:after="0"/>
        <w:jc w:val="both"/>
      </w:pPr>
      <w:r>
        <w:rPr>
          <w:rFonts w:ascii="Arial" w:eastAsia="Arial" w:hAnsi="Arial" w:cs="Arial"/>
        </w:rPr>
        <w:t>Chair Stern asked if Mr. Weiss had noted the last time any of the Articles on tonight’s Agenda were updated. Mr. Weiss advised that each Code Section includes information on the last time an Ordinance was amended.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also pointed out that some actions are taken by Ordinance, while other changes are made within the Charter itself. It was clarified that structural changes are typically made within the Charter, such as the City’s form of government, how officials are elected, or clarification of City Commission districts. The Charter serves as a Constitutional document. Most other actions are made by Ordinance, and Ordinances may be amended by the Commission after two readings.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continued that Broward County’s Charter also includes requirements that apply to municipalities and their elected officials. There are some requirements that are not included in the City’s Charter because they are part of the County’s Charter. She pointed out that there are also portions of the City’s Charter that the City may wish to remove because they are already covered by the County’s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suggested that the Board review each individual Article and determine whether or not they would like to recommend changes. Once Board discussion of the Article is complete, they would then provide an opportunity for the public to make any comments on that Article before moving on. </w:t>
      </w:r>
    </w:p>
    <w:p>
      <w:pPr>
        <w:spacing w:before="0" w:after="0"/>
        <w:jc w:val="both"/>
        <w:rPr>
          <w:rFonts w:ascii="Arial" w:eastAsia="Arial" w:hAnsi="Arial" w:cs="Arial"/>
          <w:sz w:val="24"/>
          <w:szCs w:val="24"/>
        </w:rPr>
      </w:pPr>
    </w:p>
    <w:p>
      <w:pPr>
        <w:numPr>
          <w:ilvl w:val="0"/>
          <w:numId w:val="5"/>
        </w:numPr>
        <w:pBdr>
          <w:left w:val="none" w:sz="0" w:space="7" w:color="auto"/>
        </w:pBdr>
        <w:spacing w:before="0" w:after="0"/>
        <w:ind w:left="720" w:right="0" w:hanging="436"/>
        <w:jc w:val="both"/>
      </w:pPr>
      <w:r>
        <w:rPr>
          <w:rFonts w:ascii="Arial" w:eastAsia="Arial" w:hAnsi="Arial" w:cs="Arial"/>
          <w:b/>
          <w:bCs/>
        </w:rPr>
        <w:t>ARTICLE I – CREATION AND POWERS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noted that Article I of the Charter creates the City’s government and specifies what that government may or may not do. </w:t>
      </w:r>
    </w:p>
    <w:p>
      <w:pPr>
        <w:spacing w:before="0" w:after="0"/>
        <w:jc w:val="both"/>
        <w:rPr>
          <w:rFonts w:ascii="Arial" w:eastAsia="Arial" w:hAnsi="Arial" w:cs="Arial"/>
          <w:sz w:val="24"/>
          <w:szCs w:val="24"/>
        </w:rPr>
      </w:pPr>
    </w:p>
    <w:p>
      <w:pPr>
        <w:spacing w:before="0" w:after="0"/>
        <w:jc w:val="both"/>
      </w:pPr>
      <w:r>
        <w:rPr>
          <w:rFonts w:ascii="Arial" w:eastAsia="Arial" w:hAnsi="Arial" w:cs="Arial"/>
        </w:rPr>
        <w:t>At this time Chair Stern opened public comment on Article I. As there were no individuals wishing to speak on the Article, the Chair closed public comment on the Item and brought the discussion back to the Board.</w:t>
      </w:r>
    </w:p>
    <w:p>
      <w:pPr>
        <w:spacing w:before="0" w:after="0"/>
        <w:jc w:val="both"/>
        <w:rPr>
          <w:rFonts w:ascii="Arial" w:eastAsia="Arial" w:hAnsi="Arial" w:cs="Arial"/>
          <w:sz w:val="24"/>
          <w:szCs w:val="24"/>
        </w:rPr>
      </w:pPr>
    </w:p>
    <w:p>
      <w:pPr>
        <w:numPr>
          <w:ilvl w:val="0"/>
          <w:numId w:val="6"/>
        </w:numPr>
        <w:pBdr>
          <w:left w:val="none" w:sz="0" w:space="7" w:color="auto"/>
        </w:pBdr>
        <w:spacing w:before="0" w:after="0"/>
        <w:ind w:left="720" w:right="0" w:hanging="436"/>
        <w:jc w:val="both"/>
      </w:pPr>
      <w:r>
        <w:rPr>
          <w:rFonts w:ascii="Arial" w:eastAsia="Arial" w:hAnsi="Arial" w:cs="Arial"/>
          <w:b/>
          <w:bCs/>
        </w:rPr>
        <w:t>ARTICLE II – CORPORATE LIMITS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continued that Article II establishes corporate limits, which are on file in the City Clerk’s Office. He suggested that these limits and their legal descriptions be eliminated from the Charter, and that the Charter clarify that corporate limits are as described in documentation on file with the City Clerk or with the County.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commented that there may be issues with keeping this documentation in a separate location, pointing out that emergencies could create issues in accessing the documents. Mr. Weiss noted that the documentation on file could consist of certified copies. He again recommended that the corporate limits be removed from the Charter, as the public is not likely to read this information, emphasizing that he has recommended and made this change to Charters multiple times and no issues have arisen. He added that legal descriptions are recorded in official records so they cannot be lost.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Board discussed which entity, the City Clerk’s Office or Broward County Public Records, should house the legal descriptions if they are no longer part of the Charter. It was determined that Assistant City Attorney Paul Bangel would reach out to Broward County to clarify the office in which the legal descriptions would be recorded. The Board agreed by consensus to remove this information from the Charter. </w:t>
      </w:r>
    </w:p>
    <w:p>
      <w:pPr>
        <w:spacing w:before="0" w:after="0"/>
        <w:jc w:val="both"/>
        <w:rPr>
          <w:rFonts w:ascii="Arial" w:eastAsia="Arial" w:hAnsi="Arial" w:cs="Arial"/>
          <w:sz w:val="24"/>
          <w:szCs w:val="24"/>
        </w:rPr>
      </w:pPr>
    </w:p>
    <w:p>
      <w:pPr>
        <w:numPr>
          <w:ilvl w:val="0"/>
          <w:numId w:val="7"/>
        </w:numPr>
        <w:pBdr>
          <w:left w:val="none" w:sz="0" w:space="7" w:color="auto"/>
        </w:pBdr>
        <w:spacing w:before="0" w:after="0"/>
        <w:ind w:left="720" w:right="0" w:hanging="436"/>
        <w:jc w:val="both"/>
      </w:pPr>
      <w:r>
        <w:rPr>
          <w:rFonts w:ascii="Arial" w:eastAsia="Arial" w:hAnsi="Arial" w:cs="Arial"/>
          <w:b/>
          <w:bCs/>
        </w:rPr>
        <w:t>ARTICLE III – GOVERNMENT OF CITY AND FORM OF GOVERNMENT</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asked if there was any interest from the Board in discussing the City’s form of government. He explained that the City currently has a Commission/Manager form of government, which establishes a City Commission that acts in the capacity of a board of directors, with a City Manager who serves as administrator at the pleasure of the Commission.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further clarified that the City’s form of government consists of four Commissioners and one Mayor, with the City Manager answering to all five of these individuals. She commented that other Broward municipalities have different forms of government, including Strong Mayor.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stated that the Commission/Manager form of government was created to protect professional civil service. All employees of the City are considered to work for the City Manager, with the exception of the staff of the individual elected officials. The downside of this form of government is that the City Manager, who essentially runs operations for the City, is not subject to voter approval. He emphasized again that the City Manager is responsible only to the City’s elected officials.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Another major form of government is the Strong Mayor model, in which the Mayor is elected and may or may not be a voting member of the City Commission. The Mayor is in charge in this model, and oversees City operations, including all City employees except for Commission staff. In this case the Mayor, and not the City Manager, may hire or fire City employees. Some municipalities prefer this form of government because it ensures the person in charge is an elected official who is responsible to the voters.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further clarified that in Fort Lauderdale, the City Manager may not hire or fire the City Attorney or City Clerk, both of whom are independent. Mr. Weiss noted that in some instances, the City Auditor is also independent.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continued that the arguments against a Strong Mayor government include the fact that an elected official does not always make a good administrator. There are several variations of the Commission/Manager and Strong Mayor governments, such as an administrator who works for the Mayor but cannot be fired without Commission approval. He suggested that if the Board wished to discuss forms of government further, they should hear presentations from experts who have experience with those forms.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pointed out that if the Board chooses to hear presentations on forms of government, they should also consider Article IV, which describes executive offices such as City Manager, in those presentations. She agreed that the forms of government should be discussed in greater depth, as should variations on the role of the City Manager. Once the Board has entertained these presentations, they would reach out to the public for further discussion.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continued that many of the provisions in Article III will be dependent upon how the Board decides to move forward with a recommendation on the City’s form of government. There was consensus among the Board members to hear more on this topic, including a city manager, a strong mayor, and an academic.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also recommended further discussion of Article III, Section 3.04. Attorney Bangel recalled that the Board has already passed a motion to eliminate this Section. He recommended that the Board keep a running tally of actions taken at their meetings, such as the deletion of or changes to Sections.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recalled that the City Commission had previously discussed the possibility of amending Charter Section 3.03 in order to lower the age of candidates for office from 21 to 18 years. She stated that the Board would look at this Section in greater depth.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if the City has additional specifications regarding residency of candidates. There was discussion of first and second residences, as well as clarification of whether or not a candidate has a domicile in the City. Chair Stern recommended looking into the definition of “domicile” and how this term compared to the term “resident.”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pointed out that the first paragraph of the Charter’s residency requirements refers specifically to a requirement that the Mayor reside in the City for six months prior to the date of the election, while the second paragraph specifies that City Commissioners must reside in their Commission district on the date of qualification as a candidate. Chair Stern noted that the County and State require residency within a Commission district upon the date on which the elected official takes the oath of office.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asked how these requirements would be addressed during a year in which redistricting occurs. Attorney Bangel replied that he would look at Resolutions preceding the most recent election to determine how far in advance of the election a candidate must be qualified.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and Chair Stern also requested a definition of the term “domicile” as opposed to “resident.”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if the Board recommended changing the age requirement for candidates from 21 years to 18. Mr. Weiss advised that the City requires a candidate to also be an elector, which means the required age would be 18. He suggested that the requirements for any candidate be simplified to require that they are a resident of the appropriate district and an elector for a specific period of time before the election.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stated that he felt the Board should draft amendments showing that certain Sections of the Charter are struck through and replaced, and that these amendments should be presented to the Board for approval under Old Business at the next meeting. Attorney Bangel pointed out that he has already done this for some portions of Code, including Article VIII.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decided that the reference to 21 years of age as a candidacy requirement be removed, and that candidates for both Mayor and Commission must reside in the City, and their respective Commission district, six months prior to the date of election.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suggested that the City consider including a copy of the County’s Ethics Ordinance in the information packet given to every candidate for office by the City Clerk. The City could then include language in the Charter stating that Fort Lauderdale has adopted the State’s and County’s regulations. Mr. Weiss advised that the Charter currently requires that a Mayoral candidate be an elector.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There was also discussion of whether a candidate must be an elector of their Commission district. Mr. Weiss recommended that the phrase “or candidacy” be added to the qualification requirement for the Mayor as well as for Commissioners.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asked if the phrase “shall continuously reside in the City of Fort Lauderdale” would apply both prior to and following elections. It was decided that the existing language covers both of these time frames.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asked whether the Governor’s ability to suspend an elected official supersedes that official’s forfeiture of office if they are convicted of a felony. He requested that Attorney Bangel look into this further for clarification. Chair Stern pointed out that the Governor may remove an official from office when they are charged with a felony; however, a jury may acquit that official of the crime, which would force the Governor to reappoint that official.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pointed out that while Section 3.08 states no individual City Commissioner may direct City Staff to take action without forfeiting their office, this type of direction is sometimes given as a practical matter. Section 6.06 also states that a City Commissioner may not “be involved with” City employees. He asked why this specific action is prohibited by Section 3.08, and noted that every Commissioner would have forfeited their office if this prohibition was enforced.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commented that City Staff may appear before the City Commission and request direction. Mr. Weiss noted that the Charter states neither the City Commission nor any of its committees, nor any members individually or collectively, shall direct any person’s appointment or removal by the City Manager. The intent of this requirement appeared to be a safeguard against nepotism. </w:t>
      </w:r>
    </w:p>
    <w:p>
      <w:pPr>
        <w:spacing w:before="0" w:after="0"/>
        <w:jc w:val="both"/>
        <w:rPr>
          <w:rFonts w:ascii="Arial" w:eastAsia="Arial" w:hAnsi="Arial" w:cs="Arial"/>
          <w:sz w:val="24"/>
          <w:szCs w:val="24"/>
        </w:rPr>
      </w:pPr>
    </w:p>
    <w:p>
      <w:pPr>
        <w:spacing w:before="0" w:after="0"/>
        <w:jc w:val="both"/>
      </w:pPr>
      <w:r>
        <w:rPr>
          <w:rFonts w:ascii="Arial" w:eastAsia="Arial" w:hAnsi="Arial" w:cs="Arial"/>
        </w:rPr>
        <w:t>Attorney Bangel recalled that at a 2017 City Commission workshop, he had suggested that Section 6.06, which prohibits the City Commission from directing the appointment or removal of any person, also recommends that any Commissioner who violates this procedure automatically forfeit their office. He continued that it was not clear who would make the determination that a Commissioner has committed this violation, and that it seemed unnecessary to prohibit it.</w:t>
      </w:r>
      <w:r>
        <w:rPr>
          <w:rFonts w:ascii="Arial" w:eastAsia="Arial" w:hAnsi="Arial" w:cs="Arial"/>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requested that Attorney Bangel look at and clarify the difference between Sections 6.06 and 3.07, both of which address City Commission direction of the appointment of an individual to, or removal from, office or employment by the City Manager. Chair Stern also addressed the powers vested in the City Commission, asking how the perception of a violation of these powers would be independently reviewed.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suggested including a provision which states any Commissioner who violates the Charter be removed “pursuant to law.” Chair Stern requested that Attorney Bangel bring back more information or clarification of this language at the Board’s October meeting. She added that this would also apply to Article IV as well as Article III. </w:t>
      </w:r>
    </w:p>
    <w:p>
      <w:pPr>
        <w:spacing w:before="0" w:after="0"/>
        <w:jc w:val="both"/>
        <w:rPr>
          <w:rFonts w:ascii="Arial" w:eastAsia="Arial" w:hAnsi="Arial" w:cs="Arial"/>
          <w:sz w:val="24"/>
          <w:szCs w:val="24"/>
        </w:rPr>
      </w:pPr>
    </w:p>
    <w:p>
      <w:pPr>
        <w:spacing w:before="0" w:after="0"/>
        <w:jc w:val="both"/>
      </w:pPr>
      <w:r>
        <w:rPr>
          <w:rFonts w:ascii="Arial" w:eastAsia="Arial" w:hAnsi="Arial" w:cs="Arial"/>
        </w:rPr>
        <w:t>The Board moved on to Section 3.09. Attorney Bangel recalled that a ballot question had addressed this Section, and because of concerns with the ballot question’s language, the City Attorney’s Office was directed to amend the Ordinance that amended the Charter. Chair Stern recalled that the public voted on a proposed Charter amendment that would change elections to a primary in March and a general election in November for three four-year terms. This would be consistent with County government.</w:t>
      </w:r>
      <w:r>
        <w:rPr>
          <w:rFonts w:ascii="Arial" w:eastAsia="Arial" w:hAnsi="Arial" w:cs="Arial"/>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stated that Section 101.75, Subsection 3 of Florida Statutes provide that the term of office for any elected municipal official shall commence as provided by the municipal Charter or Ordinance. Chair Stern asserted that officials elected by the County, and by other Broward municipalities, take their oaths of office upon the certification of election results by the Supervisor of Elections.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advised that he was not aware of a circumstance in which an Ordinance supersedes the Charter. Chair Stern stated that the City Commission had changed the requirement that members must be sworn in at the first regular meeting in January to a requirement rolling the date of swearing-in back to December. The Commission then added a Section which addressed the swearing-in of elected officials outside regular quadrennial elections.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noted that a change to the original language on this issue was recorded in 2018. The only change made in 2020 was the change from triennial to quadrennial elections. He clarified that this change was made by the voters.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requested clarification of a change that was made on December 2, 2020, when Section 3.09 was amended. Attorney Bangel replied that this was an “Ordinance amending the Ordinance” which had called for a Charter amendment.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stated that she felt the Charter should clarify that once the County Supervisor of Elections has certified the election results, an official has been elected. Mr. Weiss recommended that the Charter clarify a specific date on which swearing-in will be performed.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whether or not the swearing-in of elected officials should be done in a public ceremony, or whether the officials could go to a notary or judge. Chair Stern stated that the officials should have the oath of office administered once the vote has been certified under state law. Mr. Weiss emphasized that swearing-in should be done in a public setting.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suggested that examples be brought back to the Board regarding how other cities swear in their elected officials. Chair Stern noted that there are a range of possibilities, such as on a specific day after the election results have been certified, or by special Commission meeting.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requested clarification of whether some or all City Commissioners were elected during the 2020 general election. Chair Stern replied that 2020 was the first year in which the four-year election cycle began, which meant three Commissioners were up for election. It was clarified that elected officials should be sworn in according to the date on which County certification is done.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recommended that the Board postpone further discussion of this issue, as the next Section addresses ballot initiatives and petitions. There was consensus that this would be discussed further at the next Board meeting.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continued that the next meeting will address Article III, Sections 3.15, 3.16, 3.17, 3.18, 3.19, and 3.20, all of which deal with initiatives and referendum provisions. He requested that Attorney Bangel review these Sections to determine whether or not the Board should address potential changes.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reiterated that she felt Article III and Article IV should be discussed together.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Ms. Robinson confirmed that she would work with Chair Stern to secure speakers on forms of municipal government for the next meeting, and that the Board would continue to address revision of Article III, with Attorney Bangel to bring back information the Board had requested at today’s meeting. </w:t>
      </w:r>
    </w:p>
    <w:p>
      <w:pPr>
        <w:spacing w:before="0" w:after="0"/>
        <w:jc w:val="both"/>
        <w:rPr>
          <w:rFonts w:ascii="Arial" w:eastAsia="Arial" w:hAnsi="Arial" w:cs="Arial"/>
          <w:sz w:val="24"/>
          <w:szCs w:val="24"/>
        </w:rPr>
      </w:pPr>
    </w:p>
    <w:p>
      <w:pPr>
        <w:numPr>
          <w:ilvl w:val="0"/>
          <w:numId w:val="8"/>
        </w:numPr>
        <w:pBdr>
          <w:left w:val="none" w:sz="0" w:space="19" w:color="auto"/>
        </w:pBdr>
        <w:spacing w:before="0" w:after="0"/>
        <w:ind w:left="1080" w:right="0" w:hanging="720"/>
        <w:jc w:val="both"/>
        <w:rPr>
          <w:rFonts w:ascii="Arial" w:eastAsia="Arial" w:hAnsi="Arial" w:cs="Arial"/>
          <w:b/>
          <w:bCs/>
        </w:rPr>
      </w:pPr>
      <w:r>
        <w:rPr>
          <w:rFonts w:ascii="Arial" w:eastAsia="Arial" w:hAnsi="Arial" w:cs="Arial"/>
          <w:b/>
          <w:bCs/>
        </w:rPr>
        <w:t>PUBLIC INPUT ON CITY CHARTER ARTICLES I, II, AND III</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opened public comment on Articles I, II, and III.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member of the public stated that the number of petition signatures in Section 3.15 appeared to be an arbitrary number which has not been changed in some time. Chair Stern stated that the Board has already discussed this number.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also stated that if multiple candidates are running for office in a single district, there is a greater risk of triggering a recount for that race. The question was asked how the City might address the need for simultaneous recounts in multiple districts, and how this might affect the swearing-in of those officials. Chair Stern advised that this question goes back to the issue of certification, which would be postponed until the recount is complete.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member of the public asked if there would be any way, under the circumstances described above, to prevent a lack of majority being seated at the City Commission meeting immediately following an election. It was noted that there were recounts following the most recent election, but these were completed before the deadline on which the County certified the election results.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Jacquelyn Scott, member of the public, asked the Board to ensure that Staff sends out the Agendas and minutes of the Charter Revision Board (CRB) to homeowners’/civic association presidents so they can be disseminated to those organizations’ members. Chair Stern stated that it is those presidents’ responsibility to direct their members to the City’s website. She added that once the Board’s work is complete on the full Charter, they would schedule individual meetings with homeowners’/civic associations for additional public engagement before presenting their results to the City Commission. It was clarified that draft minutes are not disseminated to the public or posted on the City’s website until they have been approved by the Board.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member of the public also addressed Article III, Section 3.15, suggesting that there should be a philosophical discussion of how residents and taxpayers can provide input to the sitting City Commissioners. She pointed out that there are few times in the past when the public has been able to get a response from the Commission on their concerns and desires, even when several individuals may attend Commission meetings and address topics of concern. She recommended simplifying the process by which concerned citizens may have their grievances dealt with through formal procedure.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Mary Fertig, member of the public, stated that she has participated in the creation of two certified petitions. She agreed that Section 3.15 should also be addressed in greater detail at the next meeting. She also described some of the roadblocks faced when she had presented a petition in the past. She concluded that the entirety of Section 3.15 should be rewritten to prevent similar issues in the public when the community wishes to bring issues to the Commission’s attention.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if emails sent to the Board could be included in the members’ backup materials so the public can see them. Ms. Robinson replied that the City Clerk’s Office has advised that written comments are not included as part of the backup materials. They are submitted to the Board as an opportunity for the public to be heard.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if the Board’s meetings could be streamed live to the public. Mr. Fajardo explained that there is a mandate for the livestreaming of some City advisory entities, which take priority in the event of a conflict. It has also been difficult for Staff to secure facilities for its various advisory body meetings due to the unavailability of City Hall. He concluded that he would look into this further.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As there were no other individuals wishing to speak on the Articles, the Chair closed public comment on the Item and brought the discussion back to the Board.</w:t>
      </w:r>
    </w:p>
    <w:p>
      <w:pPr>
        <w:spacing w:before="0" w:after="0"/>
        <w:jc w:val="both"/>
        <w:rPr>
          <w:rFonts w:ascii="Arial" w:eastAsia="Arial" w:hAnsi="Arial" w:cs="Arial"/>
          <w:sz w:val="24"/>
          <w:szCs w:val="24"/>
        </w:rPr>
      </w:pPr>
    </w:p>
    <w:p>
      <w:pPr>
        <w:numPr>
          <w:ilvl w:val="0"/>
          <w:numId w:val="9"/>
        </w:numPr>
        <w:pBdr>
          <w:left w:val="none" w:sz="0" w:space="16" w:color="auto"/>
        </w:pBdr>
        <w:spacing w:before="0" w:after="0"/>
        <w:ind w:left="1080" w:right="0" w:hanging="720"/>
        <w:jc w:val="both"/>
        <w:rPr>
          <w:rFonts w:ascii="Arial" w:eastAsia="Arial" w:hAnsi="Arial" w:cs="Arial"/>
          <w:b/>
          <w:bCs/>
        </w:rPr>
      </w:pPr>
      <w:r>
        <w:rPr>
          <w:rFonts w:ascii="Arial" w:eastAsia="Arial" w:hAnsi="Arial" w:cs="Arial"/>
          <w:b/>
          <w:bCs/>
        </w:rPr>
        <w:t>CHARTER REVISION BOARD DISCUSSION AND POSSIBLE DECISION AS TO WHETHER CHANGES IN ARTICLES I, II, AND III ARE NEEDED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noted that this was previously discussed. </w:t>
      </w:r>
    </w:p>
    <w:p>
      <w:pPr>
        <w:spacing w:before="0" w:after="0"/>
        <w:jc w:val="both"/>
        <w:rPr>
          <w:rFonts w:ascii="Arial" w:eastAsia="Arial" w:hAnsi="Arial" w:cs="Arial"/>
          <w:sz w:val="24"/>
          <w:szCs w:val="24"/>
        </w:rPr>
      </w:pPr>
    </w:p>
    <w:p>
      <w:pPr>
        <w:numPr>
          <w:ilvl w:val="0"/>
          <w:numId w:val="10"/>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FOLLOW UPS FROM PRIOR MEETING</w:t>
      </w:r>
    </w:p>
    <w:p>
      <w:pPr>
        <w:spacing w:before="0" w:after="0"/>
        <w:jc w:val="both"/>
        <w:rPr>
          <w:rFonts w:ascii="Arial" w:eastAsia="Arial" w:hAnsi="Arial" w:cs="Arial"/>
          <w:sz w:val="24"/>
          <w:szCs w:val="24"/>
        </w:rPr>
      </w:pPr>
    </w:p>
    <w:p>
      <w:pPr>
        <w:numPr>
          <w:ilvl w:val="0"/>
          <w:numId w:val="11"/>
        </w:numPr>
        <w:pBdr>
          <w:left w:val="none" w:sz="0" w:space="7" w:color="auto"/>
        </w:pBdr>
        <w:spacing w:before="0" w:after="0"/>
        <w:ind w:left="720" w:right="0" w:hanging="436"/>
        <w:jc w:val="both"/>
      </w:pPr>
      <w:r>
        <w:rPr>
          <w:rFonts w:ascii="Arial" w:eastAsia="Arial" w:hAnsi="Arial" w:cs="Arial"/>
          <w:b/>
          <w:bCs/>
        </w:rPr>
        <w:t>LIST OF CITY OWNED PROPERTY</w:t>
      </w:r>
    </w:p>
    <w:p>
      <w:pPr>
        <w:spacing w:before="0" w:after="0"/>
        <w:jc w:val="both"/>
        <w:rPr>
          <w:rFonts w:ascii="Arial" w:eastAsia="Arial" w:hAnsi="Arial" w:cs="Arial"/>
          <w:sz w:val="24"/>
          <w:szCs w:val="24"/>
        </w:rPr>
      </w:pPr>
    </w:p>
    <w:p>
      <w:pPr>
        <w:numPr>
          <w:ilvl w:val="0"/>
          <w:numId w:val="12"/>
        </w:numPr>
        <w:pBdr>
          <w:left w:val="none" w:sz="0" w:space="9" w:color="auto"/>
        </w:pBdr>
        <w:spacing w:before="0" w:after="0"/>
        <w:ind w:left="1080" w:right="0" w:hanging="720"/>
        <w:jc w:val="both"/>
        <w:rPr>
          <w:rFonts w:ascii="Arial" w:eastAsia="Arial" w:hAnsi="Arial" w:cs="Arial"/>
          <w:b/>
          <w:bCs/>
        </w:rPr>
      </w:pPr>
      <w:r>
        <w:rPr>
          <w:rFonts w:ascii="Arial" w:eastAsia="Arial" w:hAnsi="Arial" w:cs="Arial"/>
          <w:b/>
          <w:bCs/>
        </w:rPr>
        <w:t>UNFINISHED BUSINESS</w:t>
      </w:r>
    </w:p>
    <w:p>
      <w:pPr>
        <w:spacing w:before="0" w:after="0"/>
        <w:jc w:val="both"/>
        <w:rPr>
          <w:rFonts w:ascii="Arial" w:eastAsia="Arial" w:hAnsi="Arial" w:cs="Arial"/>
          <w:sz w:val="24"/>
          <w:szCs w:val="24"/>
        </w:rPr>
      </w:pPr>
    </w:p>
    <w:p>
      <w:pPr>
        <w:spacing w:before="0" w:after="0"/>
        <w:jc w:val="both"/>
      </w:pPr>
      <w:r>
        <w:rPr>
          <w:rFonts w:ascii="Arial" w:eastAsia="Arial" w:hAnsi="Arial" w:cs="Arial"/>
        </w:rPr>
        <w:t>None.</w:t>
      </w:r>
    </w:p>
    <w:p>
      <w:pPr>
        <w:spacing w:before="0" w:after="0"/>
        <w:jc w:val="both"/>
      </w:pPr>
      <w:r>
        <w:rPr>
          <w:rFonts w:ascii="Arial" w:eastAsia="Arial" w:hAnsi="Arial" w:cs="Arial"/>
        </w:rPr>
        <w:t xml:space="preserve"> </w:t>
      </w:r>
    </w:p>
    <w:p>
      <w:pPr>
        <w:numPr>
          <w:ilvl w:val="0"/>
          <w:numId w:val="13"/>
        </w:numPr>
        <w:pBdr>
          <w:left w:val="none" w:sz="0" w:space="16" w:color="auto"/>
        </w:pBdr>
        <w:spacing w:before="0" w:after="0"/>
        <w:ind w:left="1080" w:right="0" w:hanging="720"/>
        <w:jc w:val="both"/>
        <w:rPr>
          <w:rFonts w:ascii="Arial" w:eastAsia="Arial" w:hAnsi="Arial" w:cs="Arial"/>
          <w:b/>
          <w:bCs/>
        </w:rPr>
      </w:pPr>
      <w:r>
        <w:rPr>
          <w:rFonts w:ascii="Arial" w:eastAsia="Arial" w:hAnsi="Arial" w:cs="Arial"/>
          <w:b/>
          <w:bCs/>
        </w:rPr>
        <w:t>GENERAL PUBLIC INPUT</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None. </w:t>
      </w:r>
    </w:p>
    <w:p>
      <w:pPr>
        <w:spacing w:before="0" w:after="0"/>
        <w:jc w:val="both"/>
        <w:rPr>
          <w:rFonts w:ascii="Arial" w:eastAsia="Arial" w:hAnsi="Arial" w:cs="Arial"/>
          <w:sz w:val="24"/>
          <w:szCs w:val="24"/>
        </w:rPr>
      </w:pPr>
    </w:p>
    <w:p>
      <w:pPr>
        <w:numPr>
          <w:ilvl w:val="0"/>
          <w:numId w:val="14"/>
        </w:numPr>
        <w:pBdr>
          <w:left w:val="none" w:sz="0" w:space="19" w:color="auto"/>
        </w:pBdr>
        <w:spacing w:before="0" w:after="0"/>
        <w:ind w:left="1080" w:right="0" w:hanging="720"/>
        <w:jc w:val="both"/>
        <w:rPr>
          <w:rFonts w:ascii="Arial" w:eastAsia="Arial" w:hAnsi="Arial" w:cs="Arial"/>
          <w:b/>
          <w:bCs/>
        </w:rPr>
      </w:pPr>
      <w:r>
        <w:rPr>
          <w:rFonts w:ascii="Arial" w:eastAsia="Arial" w:hAnsi="Arial" w:cs="Arial"/>
          <w:b/>
          <w:bCs/>
        </w:rPr>
        <w:t>ADJOURN</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There being no further business to come before the Board at this time, the meeting was adjourned at 7:29 p.m. </w:t>
      </w:r>
    </w:p>
    <w:p>
      <w:pPr>
        <w:spacing w:before="0" w:after="0"/>
        <w:jc w:val="both"/>
        <w:rPr>
          <w:rFonts w:ascii="Arial" w:eastAsia="Arial" w:hAnsi="Arial" w:cs="Arial"/>
          <w:sz w:val="24"/>
          <w:szCs w:val="24"/>
        </w:rPr>
      </w:pPr>
    </w:p>
    <w:p>
      <w:pPr>
        <w:spacing w:before="0" w:after="0"/>
        <w:jc w:val="both"/>
      </w:pPr>
      <w:r>
        <w:rPr>
          <w:rFonts w:ascii="Arial" w:eastAsia="Arial" w:hAnsi="Arial" w:cs="Arial"/>
        </w:rPr>
        <w:t>Any written public comments made 48 hours prior to the meeting regarding items discussed during the proceedings have been attached hereto.</w:t>
      </w:r>
    </w:p>
    <w:p>
      <w:pPr>
        <w:spacing w:before="0" w:after="0"/>
        <w:jc w:val="both"/>
      </w:pPr>
      <w:r>
        <w:rPr>
          <w:rFonts w:ascii="Arial" w:eastAsia="Arial" w:hAnsi="Arial" w:cs="Arial"/>
        </w:rPr>
        <w:t xml:space="preserve">                                                                                                                                              </w:t>
      </w:r>
    </w:p>
    <w:p>
      <w:pPr>
        <w:spacing w:before="0" w:after="0"/>
        <w:jc w:val="both"/>
        <w:rPr>
          <w:sz w:val="20"/>
          <w:szCs w:val="20"/>
        </w:rPr>
      </w:pPr>
      <w:r>
        <w:rPr>
          <w:rFonts w:ascii="Arial" w:eastAsia="Arial" w:hAnsi="Arial" w:cs="Arial"/>
          <w:sz w:val="20"/>
          <w:szCs w:val="20"/>
        </w:rPr>
        <w:t>[Minutes prepared by K. McGuire, Prototype, Inc.]</w:t>
      </w:r>
    </w:p>
    <w:sectPr>
      <w:headerReference w:type="default" r:id="rId5"/>
      <w:type w:val="nextPage"/>
      <w:pgSz w:w="12240" w:h="15840"/>
      <w:pgMar w:top="1440" w:right="1440" w:bottom="1440" w:left="1440"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rPr>
        <w:rFonts w:ascii="Arial" w:eastAsia="Arial" w:hAnsi="Arial" w:cs="Arial"/>
      </w:rPr>
      <w:t>Charter Revision Board</w:t>
    </w:r>
  </w:p>
  <w:p>
    <w:pPr>
      <w:spacing w:before="0" w:after="0"/>
    </w:pPr>
    <w:r>
      <w:rPr>
        <w:rFonts w:ascii="Arial" w:eastAsia="Arial" w:hAnsi="Arial" w:cs="Arial"/>
      </w:rPr>
      <w:t>September 7, 2023</w:t>
    </w:r>
  </w:p>
  <w:p>
    <w:pPr>
      <w:spacing w:before="0" w:after="0"/>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9</w:t>
    </w:r>
    <w:r>
      <w:rPr>
        <w:rFonts w:ascii="Arial" w:eastAsia="Arial" w:hAnsi="Arial" w:cs="Arial"/>
      </w:rPr>
      <w:fldChar w:fldCharType="end"/>
    </w:r>
  </w:p>
  <w:p>
    <w:pPr>
      <w:spacing w:before="0" w:after="0"/>
      <w:rPr>
        <w:rFonts w:ascii="Arial" w:eastAsia="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4"/>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hybridMultilevel"/>
    <w:tmpl w:val="0000000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hybridMultilevel"/>
    <w:tmpl w:val="000000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0000000C"/>
    <w:lvl w:ilvl="0">
      <w:start w:val="8"/>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9"/>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0"/>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