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2FB3" w14:textId="43FEFBDD" w:rsidR="00075C38" w:rsidRDefault="00CE1727" w:rsidP="00CE1727">
      <w:pPr>
        <w:jc w:val="center"/>
        <w:rPr>
          <w:rFonts w:ascii="Arial" w:hAnsi="Arial" w:cs="Arial"/>
          <w:b/>
          <w:bCs/>
          <w:sz w:val="24"/>
          <w:szCs w:val="24"/>
        </w:rPr>
      </w:pPr>
      <w:r>
        <w:rPr>
          <w:rFonts w:ascii="Arial" w:hAnsi="Arial" w:cs="Arial"/>
          <w:b/>
          <w:bCs/>
          <w:sz w:val="24"/>
          <w:szCs w:val="24"/>
        </w:rPr>
        <w:t>Residence/Domicile</w:t>
      </w:r>
    </w:p>
    <w:p w14:paraId="37418F56" w14:textId="77777777" w:rsidR="00CE1727" w:rsidRDefault="00CE1727" w:rsidP="00CE1727">
      <w:pPr>
        <w:jc w:val="both"/>
        <w:rPr>
          <w:rFonts w:ascii="Arial" w:hAnsi="Arial" w:cs="Arial"/>
          <w:b/>
          <w:bCs/>
          <w:sz w:val="24"/>
          <w:szCs w:val="24"/>
        </w:rPr>
      </w:pPr>
    </w:p>
    <w:p w14:paraId="40FC765C" w14:textId="5BBC7B4B" w:rsidR="00CE1727" w:rsidRDefault="00CE1727" w:rsidP="00CE1727">
      <w:pPr>
        <w:jc w:val="both"/>
        <w:rPr>
          <w:rFonts w:ascii="Arial" w:hAnsi="Arial" w:cs="Arial"/>
          <w:sz w:val="24"/>
          <w:szCs w:val="24"/>
        </w:rPr>
      </w:pPr>
      <w:r>
        <w:rPr>
          <w:rFonts w:ascii="Arial" w:hAnsi="Arial" w:cs="Arial"/>
          <w:sz w:val="24"/>
          <w:szCs w:val="24"/>
        </w:rPr>
        <w:t xml:space="preserve">Excerpt from </w:t>
      </w:r>
      <w:r>
        <w:rPr>
          <w:rFonts w:ascii="Arial" w:hAnsi="Arial" w:cs="Arial"/>
          <w:i/>
          <w:iCs/>
          <w:sz w:val="24"/>
          <w:szCs w:val="24"/>
        </w:rPr>
        <w:t xml:space="preserve">Minick v. Minick, </w:t>
      </w:r>
      <w:r>
        <w:rPr>
          <w:rFonts w:ascii="Arial" w:hAnsi="Arial" w:cs="Arial"/>
          <w:sz w:val="24"/>
          <w:szCs w:val="24"/>
        </w:rPr>
        <w:t>111 Fla. 469 (Fla. 1933):</w:t>
      </w:r>
    </w:p>
    <w:p w14:paraId="4A5A1446" w14:textId="77777777" w:rsidR="00CE1727" w:rsidRPr="00CE1727" w:rsidRDefault="00CE1727" w:rsidP="00CE1727">
      <w:pPr>
        <w:widowControl w:val="0"/>
        <w:spacing w:before="200" w:after="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Perhaps the interpretation of no words used in legal phraseology has given the courts of this country more labor and difficulty, and has resulted in a greater variety of judicial opinion, than the interpretation of the words ‘</w:t>
      </w:r>
      <w:r w:rsidRPr="00CE1727">
        <w:rPr>
          <w:rFonts w:ascii="Times New Roman" w:eastAsia="Times New Roman" w:hAnsi="Times New Roman" w:cs="Times New Roman"/>
          <w:i/>
          <w:iCs/>
          <w:noProof/>
          <w:sz w:val="20"/>
          <w:szCs w:val="20"/>
          <w14:ligatures w14:val="standardContextual"/>
        </w:rPr>
        <w:t>domicile</w:t>
      </w:r>
      <w:r w:rsidRPr="00CE1727">
        <w:rPr>
          <w:rFonts w:ascii="Times New Roman" w:eastAsia="Times New Roman" w:hAnsi="Times New Roman" w:cs="Times New Roman"/>
          <w:noProof/>
          <w:sz w:val="20"/>
          <w:szCs w:val="20"/>
          <w14:ligatures w14:val="standardContextual"/>
        </w:rPr>
        <w:t>’ and ‘</w:t>
      </w:r>
      <w:r w:rsidRPr="00CE1727">
        <w:rPr>
          <w:rFonts w:ascii="Times New Roman" w:eastAsia="Times New Roman" w:hAnsi="Times New Roman" w:cs="Times New Roman"/>
          <w:i/>
          <w:iCs/>
          <w:noProof/>
          <w:sz w:val="20"/>
          <w:szCs w:val="20"/>
          <w14:ligatures w14:val="standardContextual"/>
        </w:rPr>
        <w:t>residence</w:t>
      </w:r>
      <w:r w:rsidRPr="00CE1727">
        <w:rPr>
          <w:rFonts w:ascii="Times New Roman" w:eastAsia="Times New Roman" w:hAnsi="Times New Roman" w:cs="Times New Roman"/>
          <w:noProof/>
          <w:sz w:val="20"/>
          <w:szCs w:val="20"/>
          <w14:ligatures w14:val="standardContextual"/>
        </w:rPr>
        <w:t xml:space="preserve">.’ Undoubtedly, much of the apparent variety and inconsistency in the decisions is due to the fact that the words ‘resident’ and ‘residence,’ and ‘nonresident,’ as well </w:t>
      </w:r>
      <w:bookmarkStart w:id="0" w:name="co_pp_sp_353_478_1"/>
      <w:bookmarkEnd w:id="0"/>
      <w:r w:rsidRPr="00CE1727">
        <w:rPr>
          <w:rFonts w:ascii="Times New Roman" w:eastAsia="Times New Roman" w:hAnsi="Times New Roman" w:cs="Times New Roman"/>
          <w:b/>
          <w:bCs/>
          <w:noProof/>
          <w:sz w:val="20"/>
          <w:szCs w:val="20"/>
          <w14:ligatures w14:val="standardContextual"/>
        </w:rPr>
        <w:t>*478</w:t>
      </w:r>
      <w:r w:rsidRPr="00CE1727">
        <w:rPr>
          <w:rFonts w:ascii="Times New Roman" w:eastAsia="Times New Roman" w:hAnsi="Times New Roman" w:cs="Times New Roman"/>
          <w:noProof/>
          <w:sz w:val="20"/>
          <w:szCs w:val="20"/>
          <w14:ligatures w14:val="standardContextual"/>
        </w:rPr>
        <w:t xml:space="preserve"> as the word ‘domicile,’ are evidently used in a different sense in some statutes from that in which they are used in other statutes relating to different subjects. We will make no attempt to review or reconcile the various decisions on this subject. Our own decisions appear to be fairly consistent as to those phases of the subject with which we have had to deal thus far in this jurisdiction.</w:t>
      </w:r>
    </w:p>
    <w:p w14:paraId="7CC89E0A" w14:textId="77777777" w:rsidR="00CE1727" w:rsidRPr="00CE1727" w:rsidRDefault="00CE1727" w:rsidP="00CE1727">
      <w:pPr>
        <w:widowControl w:val="0"/>
        <w:spacing w:after="0" w:line="240" w:lineRule="auto"/>
        <w:jc w:val="both"/>
        <w:rPr>
          <w:rFonts w:ascii="Calibri" w:eastAsia="Times New Roman" w:hAnsi="Calibri" w:cs="Calibri"/>
          <w:noProof/>
          <w:sz w:val="20"/>
          <w:szCs w:val="20"/>
          <w14:ligatures w14:val="standardContextual"/>
        </w:rPr>
      </w:pPr>
      <w:bookmarkStart w:id="1" w:name="co_anchor_B61933111162_1"/>
      <w:bookmarkEnd w:id="1"/>
      <w:r w:rsidRPr="00CE1727">
        <w:rPr>
          <w:rFonts w:ascii="Times New Roman" w:eastAsia="Times New Roman" w:hAnsi="Times New Roman" w:cs="Times New Roman"/>
          <w:noProof/>
          <w:sz w:val="20"/>
          <w:szCs w:val="20"/>
          <w14:ligatures w14:val="standardContextual"/>
        </w:rPr>
        <w:t>Perhaps as good a definition as any for the word ‘domicile’ is that given in 19 Corpus Juris, 392 et seq., which reads:</w:t>
      </w:r>
    </w:p>
    <w:p w14:paraId="3763D2F4" w14:textId="77777777" w:rsidR="00CE1727" w:rsidRPr="00CE1727" w:rsidRDefault="00CE1727" w:rsidP="00CE1727">
      <w:pPr>
        <w:widowControl w:val="0"/>
        <w:spacing w:after="20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 </w:t>
      </w:r>
    </w:p>
    <w:p w14:paraId="0BA0B515" w14:textId="77777777" w:rsidR="00CE1727" w:rsidRPr="00CE1727" w:rsidRDefault="00CE1727" w:rsidP="00CE1727">
      <w:pPr>
        <w:widowControl w:val="0"/>
        <w:spacing w:before="200" w:after="20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‘Domicile is the relation which the law creates between an individual and a particular locality, or country. It is the legal conception of home. The word ‘domicile’ is derived from the latin ‘domus,’ meaning a home or dwelling house, and no one word is more nearly synonymous with ‘domicile’ than the word ‘home,’ which is almost always used in defining or describing the legal concept of domicile. In a strict legal sense, the domicile of a person is the place where he has his true, fixed, permanent home and principal establishment, and to which, whenever he is absent, he has the intention of returning. The definition of domicile as a habitation fixed in some place, with the intention to remain there always, has frequently been quoted, but it has generally been criticized as inapplicable to conditions in this country, and restated thus: That place is properly the domicile of a person in which his habitation is fixed, without any present intention of removing therefrom. This definition has been still further improved, as follows: That place is properly the domicile of a person in which he has voluntarily fixed his abode, not for a mere special or temporary purpose, but with a present intention of making it his permanent home. The best definitions agree in making the elements of domicile residence and the intent to remain.’</w:t>
      </w:r>
    </w:p>
    <w:p w14:paraId="2F4FA352" w14:textId="77777777" w:rsidR="00CE1727" w:rsidRPr="00CE1727" w:rsidRDefault="00CE1727" w:rsidP="00CE1727">
      <w:pPr>
        <w:widowControl w:val="0"/>
        <w:spacing w:before="200" w:after="20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 xml:space="preserve">Among the cases cited in support of the </w:t>
      </w:r>
      <w:bookmarkStart w:id="2" w:name="co_pp_sp_734_488_1"/>
      <w:bookmarkEnd w:id="2"/>
      <w:r w:rsidRPr="00CE1727">
        <w:rPr>
          <w:rFonts w:ascii="Times New Roman" w:eastAsia="Times New Roman" w:hAnsi="Times New Roman" w:cs="Times New Roman"/>
          <w:b/>
          <w:bCs/>
          <w:noProof/>
          <w:sz w:val="20"/>
          <w:szCs w:val="20"/>
          <w14:ligatures w14:val="standardContextual"/>
        </w:rPr>
        <w:t>**488</w:t>
      </w:r>
      <w:r w:rsidRPr="00CE1727">
        <w:rPr>
          <w:rFonts w:ascii="Times New Roman" w:eastAsia="Times New Roman" w:hAnsi="Times New Roman" w:cs="Times New Roman"/>
          <w:noProof/>
          <w:sz w:val="20"/>
          <w:szCs w:val="20"/>
          <w14:ligatures w14:val="standardContextual"/>
        </w:rPr>
        <w:t xml:space="preserve"> above text quotation is the case of </w:t>
      </w:r>
      <w:hyperlink r:id="rId6" w:anchor="co_pp_sp_353_152" w:history="1">
        <w:r w:rsidRPr="00CE1727">
          <w:rPr>
            <w:rFonts w:ascii="Times New Roman" w:eastAsia="Times New Roman" w:hAnsi="Times New Roman" w:cs="Times New Roman"/>
            <w:noProof/>
            <w:color w:val="0E568C"/>
            <w:sz w:val="20"/>
            <w:szCs w:val="20"/>
            <w14:ligatures w14:val="standardContextual"/>
          </w:rPr>
          <w:t>Smith v. Croom, 7 Fla. 81, 152–153.</w:t>
        </w:r>
      </w:hyperlink>
      <w:r w:rsidRPr="00CE1727">
        <w:rPr>
          <w:rFonts w:ascii="Times New Roman" w:eastAsia="Times New Roman" w:hAnsi="Times New Roman" w:cs="Times New Roman"/>
          <w:noProof/>
          <w:sz w:val="20"/>
          <w:szCs w:val="20"/>
          <w14:ligatures w14:val="standardContextual"/>
        </w:rPr>
        <w:t xml:space="preserve"> </w:t>
      </w:r>
      <w:bookmarkStart w:id="3" w:name="co_pp_sp_353_479_1"/>
      <w:bookmarkEnd w:id="3"/>
      <w:r w:rsidRPr="00CE1727">
        <w:rPr>
          <w:rFonts w:ascii="Times New Roman" w:eastAsia="Times New Roman" w:hAnsi="Times New Roman" w:cs="Times New Roman"/>
          <w:b/>
          <w:bCs/>
          <w:noProof/>
          <w:sz w:val="20"/>
          <w:szCs w:val="20"/>
          <w14:ligatures w14:val="standardContextual"/>
        </w:rPr>
        <w:t>*479</w:t>
      </w:r>
      <w:r w:rsidRPr="00CE1727">
        <w:rPr>
          <w:rFonts w:ascii="Times New Roman" w:eastAsia="Times New Roman" w:hAnsi="Times New Roman" w:cs="Times New Roman"/>
          <w:noProof/>
          <w:sz w:val="20"/>
          <w:szCs w:val="20"/>
          <w14:ligatures w14:val="standardContextual"/>
        </w:rPr>
        <w:t xml:space="preserve"> See also, in this connection, </w:t>
      </w:r>
      <w:hyperlink r:id="rId7" w:anchor="co_pp_sp_734_36" w:history="1">
        <w:r w:rsidRPr="00CE1727">
          <w:rPr>
            <w:rFonts w:ascii="Times New Roman" w:eastAsia="Times New Roman" w:hAnsi="Times New Roman" w:cs="Times New Roman"/>
            <w:noProof/>
            <w:color w:val="0E568C"/>
            <w:sz w:val="20"/>
            <w:szCs w:val="20"/>
            <w14:ligatures w14:val="standardContextual"/>
          </w:rPr>
          <w:t>Warren v. Warren, 73 Fla. 764, 75 So. 35, 36, L. R. A. 1917E, 490.</w:t>
        </w:r>
      </w:hyperlink>
      <w:r w:rsidRPr="00CE1727">
        <w:rPr>
          <w:rFonts w:ascii="Times New Roman" w:eastAsia="Times New Roman" w:hAnsi="Times New Roman" w:cs="Times New Roman"/>
          <w:noProof/>
          <w:sz w:val="20"/>
          <w:szCs w:val="20"/>
          <w14:ligatures w14:val="standardContextual"/>
        </w:rPr>
        <w:t xml:space="preserve"> In the latter case, it was held that so far as the statutes providing for the granting of alimony to a wife, when any of the causes for divorce exist in her favor, as well as the statute giving the wife the right to maintain a bill in equity against her husband for maintenance, where the legal residence or domicile of either of them is in this state, the words ‘legal residence or domicile’ were treated as being practically synonymous, and we think correctly so. See, also, </w:t>
      </w:r>
      <w:hyperlink r:id="rId8" w:history="1">
        <w:r w:rsidRPr="00CE1727">
          <w:rPr>
            <w:rFonts w:ascii="Times New Roman" w:eastAsia="Times New Roman" w:hAnsi="Times New Roman" w:cs="Times New Roman"/>
            <w:noProof/>
            <w:color w:val="0E568C"/>
            <w:sz w:val="20"/>
            <w:szCs w:val="20"/>
            <w14:ligatures w14:val="standardContextual"/>
          </w:rPr>
          <w:t>Chisholm v. Chisholm, 98 Fla. 1196, 125 So. 694</w:t>
        </w:r>
      </w:hyperlink>
      <w:r w:rsidRPr="00CE1727">
        <w:rPr>
          <w:rFonts w:ascii="Times New Roman" w:eastAsia="Times New Roman" w:hAnsi="Times New Roman" w:cs="Times New Roman"/>
          <w:noProof/>
          <w:sz w:val="20"/>
          <w:szCs w:val="20"/>
          <w14:ligatures w14:val="standardContextual"/>
        </w:rPr>
        <w:t>.</w:t>
      </w:r>
    </w:p>
    <w:p w14:paraId="1D395F93" w14:textId="77777777" w:rsidR="00CE1727" w:rsidRPr="00CE1727" w:rsidRDefault="00CE1727" w:rsidP="00CE1727">
      <w:pPr>
        <w:widowControl w:val="0"/>
        <w:spacing w:before="200" w:after="20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The sixth and seventh headnotes in the Warren Case read as follows:</w:t>
      </w:r>
    </w:p>
    <w:p w14:paraId="3D145BA0" w14:textId="77777777" w:rsidR="00CE1727" w:rsidRPr="00CE1727" w:rsidRDefault="00CE1727" w:rsidP="00CE1727">
      <w:pPr>
        <w:widowControl w:val="0"/>
        <w:spacing w:before="200" w:after="20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‘6. Legal residence or domicile may be acquired by one who coming from another state or country actually lives in this state with the intention of permanently remaining here. In such case a domicile by choice is established.</w:t>
      </w:r>
    </w:p>
    <w:p w14:paraId="510BDF11" w14:textId="77777777" w:rsidR="00CE1727" w:rsidRPr="00CE1727" w:rsidRDefault="00CE1727" w:rsidP="00CE1727">
      <w:pPr>
        <w:widowControl w:val="0"/>
        <w:spacing w:before="200" w:after="20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‘7. Legal residence or domicile in this state of one whose domicile of origan is here or who may have established in this state a domicile by choice is sufficient to give the court jurisdiction of the subject-matter in a cause involving the duties and obligations arising out of his or her marital status with another, and temporary absence from the state even for a long period of years is not sufficient to divest the court of jurisdiction.’</w:t>
      </w:r>
    </w:p>
    <w:p w14:paraId="4F797620" w14:textId="77777777" w:rsidR="00CE1727" w:rsidRPr="00CE1727" w:rsidRDefault="00CE1727" w:rsidP="00CE1727">
      <w:pPr>
        <w:widowControl w:val="0"/>
        <w:spacing w:before="200" w:after="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The meaning of the word ‘domicile’ is very fully reviewed in Bouvier’s Law Dictionary; in 3 Words and Phrases, First Series, pp. 2168–2180; and in 9 R. C. L. 538 et seq.</w:t>
      </w:r>
    </w:p>
    <w:p w14:paraId="01B5997F" w14:textId="77777777" w:rsidR="00CE1727" w:rsidRPr="00CE1727" w:rsidRDefault="00CE1727" w:rsidP="00CE1727">
      <w:pPr>
        <w:widowControl w:val="0"/>
        <w:spacing w:after="0" w:line="240" w:lineRule="auto"/>
        <w:jc w:val="both"/>
        <w:rPr>
          <w:rFonts w:ascii="Calibri" w:eastAsia="Times New Roman" w:hAnsi="Calibri" w:cs="Calibri"/>
          <w:noProof/>
          <w:sz w:val="20"/>
          <w:szCs w:val="20"/>
          <w14:ligatures w14:val="standardContextual"/>
        </w:rPr>
      </w:pPr>
      <w:bookmarkStart w:id="4" w:name="co_anchor_B71933111162_1"/>
      <w:bookmarkEnd w:id="4"/>
      <w:r w:rsidRPr="00CE1727">
        <w:rPr>
          <w:rFonts w:ascii="Times New Roman" w:eastAsia="Times New Roman" w:hAnsi="Times New Roman" w:cs="Times New Roman"/>
          <w:noProof/>
          <w:sz w:val="20"/>
          <w:szCs w:val="20"/>
          <w14:ligatures w14:val="standardContextual"/>
        </w:rPr>
        <w:t>In distinguishing the differences in meaning between the word ‘domicile’ and the word ‘residence,’ it is said in 19 Corpus Juris, pp. 395, 396, 397, et seq.:</w:t>
      </w:r>
    </w:p>
    <w:p w14:paraId="2ECE57E2" w14:textId="77777777" w:rsidR="00CE1727" w:rsidRPr="00CE1727" w:rsidRDefault="00CE1727" w:rsidP="00CE1727">
      <w:pPr>
        <w:widowControl w:val="0"/>
        <w:spacing w:after="20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 </w:t>
      </w:r>
    </w:p>
    <w:p w14:paraId="3D0E3C2A" w14:textId="77777777" w:rsidR="00CE1727" w:rsidRPr="00CE1727" w:rsidRDefault="00CE1727" w:rsidP="00CE1727">
      <w:pPr>
        <w:widowControl w:val="0"/>
        <w:spacing w:before="200" w:after="20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 xml:space="preserve">‘While the terms ‘domicile’ and ‘residence’ are frequently used synonymously, they are not, when accurately used, convertible terms. The former is of more extensive signification </w:t>
      </w:r>
      <w:bookmarkStart w:id="5" w:name="co_pp_sp_353_480_1"/>
      <w:bookmarkEnd w:id="5"/>
      <w:r w:rsidRPr="00CE1727">
        <w:rPr>
          <w:rFonts w:ascii="Times New Roman" w:eastAsia="Times New Roman" w:hAnsi="Times New Roman" w:cs="Times New Roman"/>
          <w:b/>
          <w:bCs/>
          <w:noProof/>
          <w:sz w:val="20"/>
          <w:szCs w:val="20"/>
          <w14:ligatures w14:val="standardContextual"/>
        </w:rPr>
        <w:t>*480</w:t>
      </w:r>
      <w:r w:rsidRPr="00CE1727">
        <w:rPr>
          <w:rFonts w:ascii="Times New Roman" w:eastAsia="Times New Roman" w:hAnsi="Times New Roman" w:cs="Times New Roman"/>
          <w:noProof/>
          <w:sz w:val="20"/>
          <w:szCs w:val="20"/>
          <w14:ligatures w14:val="standardContextual"/>
        </w:rPr>
        <w:t xml:space="preserve"> and includes, beyond mere physical presence at the particular locality, positive or presumptive proof of an intention to constitute it a permanent abiding place. ‘Residence’ is of a more temporary character than ‘domicile.’ ‘Residence’ simply indicates the place of abode, whether </w:t>
      </w:r>
      <w:r w:rsidRPr="00CE1727">
        <w:rPr>
          <w:rFonts w:ascii="Times New Roman" w:eastAsia="Times New Roman" w:hAnsi="Times New Roman" w:cs="Times New Roman"/>
          <w:noProof/>
          <w:sz w:val="20"/>
          <w:szCs w:val="20"/>
          <w14:ligatures w14:val="standardContextual"/>
        </w:rPr>
        <w:lastRenderedPageBreak/>
        <w:t>permanent or temporary; ‘domicile’ denotes a fixed, permanent residence, to which, when absent, one has the intention of returning. ‘Residence’ has a more limited, precise and local application than ‘domicile,’ which is used more in reference to personal rights, duties, and obligations. That there is a difference in meaning between ‘residence’ and ‘domicile,’ is shown by the fact that a person may have his residence in one place while his domicile is in another. It has also been said that domicile and residence are not synonymous for the reason that a person may have more than one residence at the same time, but only one domicile.’</w:t>
      </w:r>
    </w:p>
    <w:p w14:paraId="6626F78A" w14:textId="77777777" w:rsidR="00CE1727" w:rsidRPr="00CE1727" w:rsidRDefault="00CE1727" w:rsidP="00CE1727">
      <w:pPr>
        <w:widowControl w:val="0"/>
        <w:spacing w:before="200" w:after="200" w:line="240" w:lineRule="auto"/>
        <w:jc w:val="both"/>
        <w:rPr>
          <w:rFonts w:ascii="Calibri" w:eastAsia="Times New Roman" w:hAnsi="Calibri" w:cs="Calibri"/>
          <w:noProof/>
          <w:sz w:val="20"/>
          <w:szCs w:val="20"/>
          <w14:ligatures w14:val="standardContextual"/>
        </w:rPr>
      </w:pPr>
      <w:r w:rsidRPr="00CE1727">
        <w:rPr>
          <w:rFonts w:ascii="Times New Roman" w:eastAsia="Times New Roman" w:hAnsi="Times New Roman" w:cs="Times New Roman"/>
          <w:noProof/>
          <w:sz w:val="20"/>
          <w:szCs w:val="20"/>
          <w14:ligatures w14:val="standardContextual"/>
        </w:rPr>
        <w:t>“Residence’ as used in various statutes has been considered synonymous with ‘domicile,’ but of course this depends upon the intent of the particular statute as ascertained by construction of its provisions. The terms are not necessarily synonymous. Generally, where a statute prescribes residence as a qualification for the enjoyment of a privilege, or the exercise of a franchise, and whenever the terms are used in connection with subjects of domestic policy, domicile and residence are equivalent.’</w:t>
      </w:r>
    </w:p>
    <w:p w14:paraId="0A06C53E" w14:textId="7FF352A1" w:rsidR="00CE1727" w:rsidRPr="00CE1727" w:rsidRDefault="00CE1727" w:rsidP="00CE1727">
      <w:pPr>
        <w:jc w:val="both"/>
        <w:rPr>
          <w:rFonts w:ascii="Arial" w:hAnsi="Arial" w:cs="Arial"/>
          <w:sz w:val="24"/>
          <w:szCs w:val="24"/>
        </w:rPr>
      </w:pPr>
      <w:r w:rsidRPr="00CE1727">
        <w:rPr>
          <w:rFonts w:ascii="Times New Roman" w:eastAsia="Times New Roman" w:hAnsi="Times New Roman" w:cs="Times New Roman"/>
          <w:noProof/>
          <w:sz w:val="20"/>
          <w:szCs w:val="20"/>
        </w:rPr>
        <w:t>In the course of Mr. Justice Ellis’ opinion in the case of Warren v. Warren, supra, it was said: ‘Any place of abode or dwelling place constitutes a ‘residence,’ however temporary it may be, while the term ‘domicile’ relates rather to the legal residence of a person, or his home in contemplation of law. As a result one may be a resident of one jurisdiction although having a domicile in another.’ Citing 9 R. C. L. 539.</w:t>
      </w:r>
    </w:p>
    <w:sectPr w:rsidR="00CE1727" w:rsidRPr="00CE1727" w:rsidSect="00F3299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DE14" w14:textId="77777777" w:rsidR="00CE1727" w:rsidRDefault="00CE1727" w:rsidP="00CE1727">
      <w:pPr>
        <w:spacing w:after="0" w:line="240" w:lineRule="auto"/>
      </w:pPr>
      <w:r>
        <w:separator/>
      </w:r>
    </w:p>
  </w:endnote>
  <w:endnote w:type="continuationSeparator" w:id="0">
    <w:p w14:paraId="3DB060E6" w14:textId="77777777" w:rsidR="00CE1727" w:rsidRDefault="00CE1727" w:rsidP="00CE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268178"/>
      <w:docPartObj>
        <w:docPartGallery w:val="Page Numbers (Bottom of Page)"/>
        <w:docPartUnique/>
      </w:docPartObj>
    </w:sdtPr>
    <w:sdtEndPr>
      <w:rPr>
        <w:rFonts w:ascii="Arial" w:hAnsi="Arial" w:cs="Arial"/>
        <w:noProof/>
        <w:sz w:val="24"/>
        <w:szCs w:val="24"/>
      </w:rPr>
    </w:sdtEndPr>
    <w:sdtContent>
      <w:p w14:paraId="7FA8F9B7" w14:textId="39567FCE" w:rsidR="00F32997" w:rsidRDefault="00F32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516EA" w14:textId="77777777" w:rsidR="00CE1727" w:rsidRDefault="00CE1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F445" w14:textId="77777777" w:rsidR="00CE1727" w:rsidRDefault="00CE1727" w:rsidP="00CE1727">
      <w:pPr>
        <w:spacing w:after="0" w:line="240" w:lineRule="auto"/>
      </w:pPr>
      <w:r>
        <w:separator/>
      </w:r>
    </w:p>
  </w:footnote>
  <w:footnote w:type="continuationSeparator" w:id="0">
    <w:p w14:paraId="1A785B40" w14:textId="77777777" w:rsidR="00CE1727" w:rsidRDefault="00CE1727" w:rsidP="00CE17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27"/>
    <w:rsid w:val="00075C38"/>
    <w:rsid w:val="00CE1727"/>
    <w:rsid w:val="00F3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2049"/>
  <w15:chartTrackingRefBased/>
  <w15:docId w15:val="{F23C9474-C003-4EF0-B584-C17C4564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27"/>
  </w:style>
  <w:style w:type="paragraph" w:styleId="Footer">
    <w:name w:val="footer"/>
    <w:basedOn w:val="Normal"/>
    <w:link w:val="FooterChar"/>
    <w:uiPriority w:val="99"/>
    <w:unhideWhenUsed/>
    <w:rsid w:val="00CE1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law.com/Link/Document/FullText?findType=Y&amp;serNum=1930110672&amp;pubNum=734&amp;originatingDoc=I1e4f64510c6511d98220e6fa99ecd085&amp;refType=RP&amp;originationContext=document&amp;vr=3.0&amp;rs=cblt1.0&amp;transitionType=DocumentItem&amp;contextData=(sc.History*oc.Search)" TargetMode="External"/><Relationship Id="rId3" Type="http://schemas.openxmlformats.org/officeDocument/2006/relationships/webSettings" Target="webSettings.xml"/><Relationship Id="rId7" Type="http://schemas.openxmlformats.org/officeDocument/2006/relationships/hyperlink" Target="https://www.westlaw.com/Link/Document/FullText?findType=Y&amp;serNum=1917000164&amp;pubNum=734&amp;originatingDoc=I1e4f64510c6511d98220e6fa99ecd085&amp;refType=RP&amp;fi=co_pp_sp_734_36&amp;originationContext=document&amp;vr=3.0&amp;rs=cblt1.0&amp;transitionType=DocumentItem&amp;contextData=(sc.History*o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stlaw.com/Link/Document/FullText?findType=Y&amp;serNum=1857002181&amp;pubNum=353&amp;originatingDoc=I1e4f64510c6511d98220e6fa99ecd085&amp;refType=RP&amp;fi=co_pp_sp_353_152&amp;originationContext=document&amp;vr=3.0&amp;rs=cblt1.0&amp;transitionType=DocumentItem&amp;contextData=(sc.History*oc.Sear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Bangel</dc:creator>
  <cp:keywords/>
  <dc:description/>
  <cp:lastModifiedBy>Paul Bangel</cp:lastModifiedBy>
  <cp:revision>1</cp:revision>
  <dcterms:created xsi:type="dcterms:W3CDTF">2023-09-28T14:40:00Z</dcterms:created>
  <dcterms:modified xsi:type="dcterms:W3CDTF">2023-09-28T14:53:00Z</dcterms:modified>
</cp:coreProperties>
</file>