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39BB" w14:textId="6FC367B7" w:rsidR="00AB7988" w:rsidRPr="00AE70DE" w:rsidRDefault="00AB7988" w:rsidP="008070C0">
      <w:pPr>
        <w:shd w:val="clear" w:color="auto" w:fill="FFFFFF"/>
        <w:tabs>
          <w:tab w:val="num" w:pos="720"/>
        </w:tabs>
        <w:spacing w:before="100" w:beforeAutospacing="1" w:after="100" w:afterAutospacing="1" w:line="420" w:lineRule="atLeast"/>
        <w:ind w:left="720" w:hanging="360"/>
        <w:textAlignment w:val="center"/>
        <w:rPr>
          <w:rFonts w:ascii="Arial" w:hAnsi="Arial" w:cs="Arial"/>
          <w:b/>
          <w:bCs/>
          <w:sz w:val="24"/>
          <w:szCs w:val="24"/>
        </w:rPr>
      </w:pPr>
      <w:r w:rsidRPr="00AE70DE">
        <w:rPr>
          <w:rFonts w:ascii="Arial" w:hAnsi="Arial" w:cs="Arial"/>
          <w:b/>
          <w:bCs/>
          <w:sz w:val="24"/>
          <w:szCs w:val="24"/>
        </w:rPr>
        <w:t>Original:</w:t>
      </w:r>
    </w:p>
    <w:p w14:paraId="1C24503D" w14:textId="77777777" w:rsidR="008070C0" w:rsidRPr="00AE70DE" w:rsidRDefault="008070C0" w:rsidP="00AE70DE">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AE70DE">
        <w:rPr>
          <w:rFonts w:ascii="Arial" w:eastAsia="Times New Roman" w:hAnsi="Arial" w:cs="Arial"/>
          <w:b/>
          <w:bCs/>
          <w:color w:val="313335"/>
          <w:sz w:val="24"/>
          <w:szCs w:val="24"/>
        </w:rPr>
        <w:t>Sec. 6.06. - City commission involvement prohibited.</w:t>
      </w:r>
    </w:p>
    <w:p w14:paraId="495A3553" w14:textId="77777777" w:rsidR="008070C0" w:rsidRPr="00AE70DE" w:rsidRDefault="008070C0" w:rsidP="00AE70DE">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AE70DE">
        <w:rPr>
          <w:rFonts w:ascii="Arial" w:eastAsia="Times New Roman" w:hAnsi="Arial" w:cs="Arial"/>
          <w:color w:val="313335"/>
          <w:spacing w:val="2"/>
          <w:sz w:val="24"/>
          <w:szCs w:val="24"/>
        </w:rPr>
        <w:t xml:space="preserve">Neither the city commission, any of its committees, nor any of its members, individually or collectively, shall direct the appointment of any person to, or removal from, office by the city manager or any of the manager's subordinates, or in any manner, directly or indirectly, take part in the appointment or removal of any officer or employee in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except as provided in</w:t>
      </w:r>
      <w:hyperlink r:id="rId5" w:history="1">
        <w:r w:rsidRPr="00AE70DE">
          <w:rPr>
            <w:rFonts w:ascii="Arial" w:eastAsia="Times New Roman" w:hAnsi="Arial" w:cs="Arial"/>
            <w:color w:val="096FCC"/>
            <w:spacing w:val="2"/>
            <w:sz w:val="24"/>
            <w:szCs w:val="24"/>
            <w:u w:val="single"/>
          </w:rPr>
          <w:t> section 6.02</w:t>
        </w:r>
      </w:hyperlink>
      <w:r w:rsidRPr="00AE70DE">
        <w:rPr>
          <w:rFonts w:ascii="Arial" w:eastAsia="Times New Roman" w:hAnsi="Arial" w:cs="Arial"/>
          <w:color w:val="313335"/>
          <w:spacing w:val="2"/>
          <w:sz w:val="24"/>
          <w:szCs w:val="24"/>
        </w:rPr>
        <w:t xml:space="preserve"> of this article. All inquiry dealing with any portion of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shall be with the city manager, except </w:t>
      </w:r>
      <w:proofErr w:type="gramStart"/>
      <w:r w:rsidRPr="00AE70DE">
        <w:rPr>
          <w:rFonts w:ascii="Arial" w:eastAsia="Times New Roman" w:hAnsi="Arial" w:cs="Arial"/>
          <w:color w:val="313335"/>
          <w:spacing w:val="2"/>
          <w:sz w:val="24"/>
          <w:szCs w:val="24"/>
        </w:rPr>
        <w:t>with regard to</w:t>
      </w:r>
      <w:proofErr w:type="gramEnd"/>
      <w:r w:rsidRPr="00AE70DE">
        <w:rPr>
          <w:rFonts w:ascii="Arial" w:eastAsia="Times New Roman" w:hAnsi="Arial" w:cs="Arial"/>
          <w:color w:val="313335"/>
          <w:spacing w:val="2"/>
          <w:sz w:val="24"/>
          <w:szCs w:val="24"/>
        </w:rPr>
        <w:t xml:space="preserve"> assistant city clerks, assistant city auditors, and except with regard to commission assistants, neither the city commission nor any member thereof shall give any orders to any subordinate or officer of the city, either publicly or privately, directly or indirectly. Any violation of the provisions of this section by a member of the city commission shall be grounds for removal from office.</w:t>
      </w:r>
    </w:p>
    <w:p w14:paraId="24BC8779" w14:textId="77777777" w:rsidR="008070C0" w:rsidRPr="00AE70DE" w:rsidRDefault="008070C0" w:rsidP="00AE70DE">
      <w:pPr>
        <w:shd w:val="clear" w:color="auto" w:fill="FFFFFF"/>
        <w:spacing w:after="195" w:line="240" w:lineRule="auto"/>
        <w:ind w:left="360"/>
        <w:rPr>
          <w:rFonts w:ascii="Arial" w:eastAsia="Times New Roman" w:hAnsi="Arial" w:cs="Arial"/>
          <w:color w:val="313335"/>
          <w:spacing w:val="2"/>
          <w:sz w:val="24"/>
          <w:szCs w:val="24"/>
        </w:rPr>
      </w:pPr>
      <w:r w:rsidRPr="00AE70DE">
        <w:rPr>
          <w:rFonts w:ascii="Arial" w:eastAsia="Times New Roman" w:hAnsi="Arial" w:cs="Arial"/>
          <w:color w:val="313335"/>
          <w:spacing w:val="2"/>
          <w:sz w:val="24"/>
          <w:szCs w:val="24"/>
        </w:rPr>
        <w:t>( </w:t>
      </w:r>
      <w:hyperlink r:id="rId6" w:history="1">
        <w:r w:rsidRPr="00AE70DE">
          <w:rPr>
            <w:rFonts w:ascii="Arial" w:eastAsia="Times New Roman" w:hAnsi="Arial" w:cs="Arial"/>
            <w:color w:val="096FCC"/>
            <w:spacing w:val="2"/>
            <w:sz w:val="24"/>
            <w:szCs w:val="24"/>
            <w:u w:val="single"/>
          </w:rPr>
          <w:t>Ord. No. C-04-38, § 2, 7-26-04 </w:t>
        </w:r>
      </w:hyperlink>
      <w:r w:rsidRPr="00AE70DE">
        <w:rPr>
          <w:rFonts w:ascii="Arial" w:eastAsia="Times New Roman" w:hAnsi="Arial" w:cs="Arial"/>
          <w:color w:val="313335"/>
          <w:spacing w:val="2"/>
          <w:sz w:val="24"/>
          <w:szCs w:val="24"/>
        </w:rPr>
        <w:t>; Ord. No. C-08-25, § 3, 6-17-08/11-4-08)</w:t>
      </w:r>
    </w:p>
    <w:p w14:paraId="55DC98F5" w14:textId="40750DE5" w:rsidR="001E0638" w:rsidRPr="00AE70DE" w:rsidRDefault="004D2DD1" w:rsidP="00AE70DE">
      <w:pPr>
        <w:ind w:left="360"/>
        <w:rPr>
          <w:rFonts w:ascii="Arial" w:hAnsi="Arial" w:cs="Arial"/>
          <w:b/>
          <w:bCs/>
          <w:sz w:val="24"/>
          <w:szCs w:val="24"/>
        </w:rPr>
      </w:pPr>
      <w:r w:rsidRPr="00AE70DE">
        <w:rPr>
          <w:rFonts w:ascii="Arial" w:hAnsi="Arial" w:cs="Arial"/>
          <w:b/>
          <w:bCs/>
          <w:sz w:val="24"/>
          <w:szCs w:val="24"/>
        </w:rPr>
        <w:t>Recommendation:</w:t>
      </w:r>
    </w:p>
    <w:p w14:paraId="65C32CA9" w14:textId="77777777" w:rsidR="008070C0" w:rsidRPr="00AE70DE" w:rsidRDefault="008070C0" w:rsidP="00AE70DE">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AE70DE">
        <w:rPr>
          <w:rFonts w:ascii="Arial" w:eastAsia="Times New Roman" w:hAnsi="Arial" w:cs="Arial"/>
          <w:b/>
          <w:bCs/>
          <w:color w:val="313335"/>
          <w:sz w:val="24"/>
          <w:szCs w:val="24"/>
        </w:rPr>
        <w:t>Sec. 6.06. - City commission involvement prohibited.</w:t>
      </w:r>
    </w:p>
    <w:p w14:paraId="79945854" w14:textId="0B0B30A6" w:rsidR="008070C0" w:rsidRPr="00AE70DE" w:rsidRDefault="008070C0" w:rsidP="00AE70DE">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AE70DE">
        <w:rPr>
          <w:rFonts w:ascii="Arial" w:eastAsia="Times New Roman" w:hAnsi="Arial" w:cs="Arial"/>
          <w:color w:val="313335"/>
          <w:spacing w:val="2"/>
          <w:sz w:val="24"/>
          <w:szCs w:val="24"/>
        </w:rPr>
        <w:t xml:space="preserve">Neither the city commission, any of its committees, nor any of its members, individually or collectively, shall direct the appointment of any person to, or removal from, office by the city manager or any of the manager's subordinates, or in any manner, directly or indirectly, take part in the appointment or removal of any officer or employee in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except as provided in</w:t>
      </w:r>
      <w:hyperlink r:id="rId7" w:history="1">
        <w:r w:rsidRPr="00AE70DE">
          <w:rPr>
            <w:rFonts w:ascii="Arial" w:eastAsia="Times New Roman" w:hAnsi="Arial" w:cs="Arial"/>
            <w:color w:val="096FCC"/>
            <w:spacing w:val="2"/>
            <w:sz w:val="24"/>
            <w:szCs w:val="24"/>
            <w:u w:val="single"/>
          </w:rPr>
          <w:t> section 6.02</w:t>
        </w:r>
      </w:hyperlink>
      <w:r w:rsidRPr="00AE70DE">
        <w:rPr>
          <w:rFonts w:ascii="Arial" w:eastAsia="Times New Roman" w:hAnsi="Arial" w:cs="Arial"/>
          <w:color w:val="313335"/>
          <w:spacing w:val="2"/>
          <w:sz w:val="24"/>
          <w:szCs w:val="24"/>
        </w:rPr>
        <w:t xml:space="preserve"> of this article. All inquiry dealing with any portion of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shall be with the city manager, except </w:t>
      </w:r>
      <w:proofErr w:type="gramStart"/>
      <w:r w:rsidRPr="00AE70DE">
        <w:rPr>
          <w:rFonts w:ascii="Arial" w:eastAsia="Times New Roman" w:hAnsi="Arial" w:cs="Arial"/>
          <w:color w:val="313335"/>
          <w:spacing w:val="2"/>
          <w:sz w:val="24"/>
          <w:szCs w:val="24"/>
        </w:rPr>
        <w:t>with regard to</w:t>
      </w:r>
      <w:proofErr w:type="gramEnd"/>
      <w:r w:rsidRPr="00AE70DE">
        <w:rPr>
          <w:rFonts w:ascii="Arial" w:eastAsia="Times New Roman" w:hAnsi="Arial" w:cs="Arial"/>
          <w:color w:val="313335"/>
          <w:spacing w:val="2"/>
          <w:sz w:val="24"/>
          <w:szCs w:val="24"/>
        </w:rPr>
        <w:t xml:space="preserve"> assistant city clerks, assistant city auditors, and except with regard to commission assistants, neither the city commission nor any member thereof shall give any orders to any subordinate or officer of the city, either publicly or privately, directly or indirectly. Any violation of the provisions of this section by a member of the city commission shall be </w:t>
      </w:r>
      <w:r w:rsidRPr="00AE70DE">
        <w:rPr>
          <w:rFonts w:ascii="Arial" w:eastAsia="Times New Roman" w:hAnsi="Arial" w:cs="Arial"/>
          <w:color w:val="313335"/>
          <w:spacing w:val="2"/>
          <w:sz w:val="24"/>
          <w:szCs w:val="24"/>
          <w:u w:val="single"/>
        </w:rPr>
        <w:t xml:space="preserve">considered misfeasance in office and </w:t>
      </w:r>
      <w:r w:rsidRPr="00AE70DE">
        <w:rPr>
          <w:rFonts w:ascii="Arial" w:eastAsia="Times New Roman" w:hAnsi="Arial" w:cs="Arial"/>
          <w:color w:val="313335"/>
          <w:spacing w:val="2"/>
          <w:sz w:val="24"/>
          <w:szCs w:val="24"/>
        </w:rPr>
        <w:t xml:space="preserve">grounds for </w:t>
      </w:r>
      <w:r w:rsidR="00CD2A26" w:rsidRPr="00AE70DE">
        <w:rPr>
          <w:rFonts w:ascii="Arial" w:eastAsia="Times New Roman" w:hAnsi="Arial" w:cs="Arial"/>
          <w:color w:val="313335"/>
          <w:spacing w:val="2"/>
          <w:sz w:val="24"/>
          <w:szCs w:val="24"/>
          <w:u w:val="single"/>
        </w:rPr>
        <w:t xml:space="preserve">an appropriate judicial remedy or </w:t>
      </w:r>
      <w:r w:rsidRPr="00AE70DE">
        <w:rPr>
          <w:rFonts w:ascii="Arial" w:eastAsia="Times New Roman" w:hAnsi="Arial" w:cs="Arial"/>
          <w:color w:val="313335"/>
          <w:spacing w:val="2"/>
          <w:sz w:val="24"/>
          <w:szCs w:val="24"/>
          <w:u w:val="single"/>
        </w:rPr>
        <w:t xml:space="preserve">a request that the governor of the State of Florida </w:t>
      </w:r>
      <w:r w:rsidR="00CD2A26" w:rsidRPr="00AE70DE">
        <w:rPr>
          <w:rFonts w:ascii="Arial" w:eastAsia="Times New Roman" w:hAnsi="Arial" w:cs="Arial"/>
          <w:color w:val="313335"/>
          <w:spacing w:val="2"/>
          <w:sz w:val="24"/>
          <w:szCs w:val="24"/>
          <w:u w:val="single"/>
        </w:rPr>
        <w:t>suspend</w:t>
      </w:r>
      <w:r w:rsidRPr="00AE70DE">
        <w:rPr>
          <w:rFonts w:ascii="Arial" w:eastAsia="Times New Roman" w:hAnsi="Arial" w:cs="Arial"/>
          <w:color w:val="313335"/>
          <w:spacing w:val="2"/>
          <w:sz w:val="24"/>
          <w:szCs w:val="24"/>
          <w:u w:val="single"/>
        </w:rPr>
        <w:t xml:space="preserve"> such member </w:t>
      </w:r>
      <w:r w:rsidRPr="00AE70DE">
        <w:rPr>
          <w:rFonts w:ascii="Arial" w:eastAsia="Times New Roman" w:hAnsi="Arial" w:cs="Arial"/>
          <w:strike/>
          <w:color w:val="313335"/>
          <w:spacing w:val="2"/>
          <w:sz w:val="24"/>
          <w:szCs w:val="24"/>
        </w:rPr>
        <w:t>removal from office</w:t>
      </w:r>
      <w:r w:rsidRPr="00AE70DE">
        <w:rPr>
          <w:rFonts w:ascii="Arial" w:eastAsia="Times New Roman" w:hAnsi="Arial" w:cs="Arial"/>
          <w:color w:val="313335"/>
          <w:spacing w:val="2"/>
          <w:sz w:val="24"/>
          <w:szCs w:val="24"/>
          <w:u w:val="single"/>
        </w:rPr>
        <w:t xml:space="preserve"> pursuant to Section 112.51, Florida Statutes (2023), as may be amended or revised</w:t>
      </w:r>
      <w:r w:rsidRPr="00AE70DE">
        <w:rPr>
          <w:rFonts w:ascii="Arial" w:eastAsia="Times New Roman" w:hAnsi="Arial" w:cs="Arial"/>
          <w:color w:val="313335"/>
          <w:spacing w:val="2"/>
          <w:sz w:val="24"/>
          <w:szCs w:val="24"/>
        </w:rPr>
        <w:t>.</w:t>
      </w:r>
    </w:p>
    <w:p w14:paraId="4B0D9024" w14:textId="77777777" w:rsidR="008070C0" w:rsidRPr="00AE70DE" w:rsidRDefault="008070C0" w:rsidP="00AE70DE">
      <w:pPr>
        <w:shd w:val="clear" w:color="auto" w:fill="FFFFFF"/>
        <w:spacing w:after="195" w:line="240" w:lineRule="auto"/>
        <w:ind w:left="360"/>
        <w:rPr>
          <w:rFonts w:ascii="Arial" w:eastAsia="Times New Roman" w:hAnsi="Arial" w:cs="Arial"/>
          <w:color w:val="313335"/>
          <w:spacing w:val="2"/>
          <w:sz w:val="24"/>
          <w:szCs w:val="24"/>
        </w:rPr>
      </w:pPr>
      <w:r w:rsidRPr="00AE70DE">
        <w:rPr>
          <w:rFonts w:ascii="Arial" w:eastAsia="Times New Roman" w:hAnsi="Arial" w:cs="Arial"/>
          <w:color w:val="313335"/>
          <w:spacing w:val="2"/>
          <w:sz w:val="24"/>
          <w:szCs w:val="24"/>
        </w:rPr>
        <w:t>( </w:t>
      </w:r>
      <w:hyperlink r:id="rId8" w:history="1">
        <w:r w:rsidRPr="00AE70DE">
          <w:rPr>
            <w:rFonts w:ascii="Arial" w:eastAsia="Times New Roman" w:hAnsi="Arial" w:cs="Arial"/>
            <w:color w:val="096FCC"/>
            <w:spacing w:val="2"/>
            <w:sz w:val="24"/>
            <w:szCs w:val="24"/>
            <w:u w:val="single"/>
          </w:rPr>
          <w:t>Ord. No. C-04-38, § 2, 7-26-04 </w:t>
        </w:r>
      </w:hyperlink>
      <w:r w:rsidRPr="00AE70DE">
        <w:rPr>
          <w:rFonts w:ascii="Arial" w:eastAsia="Times New Roman" w:hAnsi="Arial" w:cs="Arial"/>
          <w:color w:val="313335"/>
          <w:spacing w:val="2"/>
          <w:sz w:val="24"/>
          <w:szCs w:val="24"/>
        </w:rPr>
        <w:t>; Ord. No. C-08-25, § 3, 6-17-08/11-4-08)</w:t>
      </w:r>
    </w:p>
    <w:p w14:paraId="339D2964" w14:textId="1FA70FA7" w:rsidR="004D2DD1" w:rsidRPr="00AE70DE" w:rsidRDefault="004D2DD1" w:rsidP="00AE70DE">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AE70DE">
        <w:rPr>
          <w:rFonts w:ascii="Arial" w:eastAsia="Times New Roman" w:hAnsi="Arial" w:cs="Arial"/>
          <w:b/>
          <w:bCs/>
          <w:color w:val="313335"/>
          <w:sz w:val="24"/>
          <w:szCs w:val="24"/>
        </w:rPr>
        <w:t>As Amended:</w:t>
      </w:r>
    </w:p>
    <w:p w14:paraId="45967247" w14:textId="65A2DA4A" w:rsidR="00CD2A26" w:rsidRPr="00AE70DE" w:rsidRDefault="00CD2A26" w:rsidP="00AE70DE">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AE70DE">
        <w:rPr>
          <w:rFonts w:ascii="Arial" w:eastAsia="Times New Roman" w:hAnsi="Arial" w:cs="Arial"/>
          <w:b/>
          <w:bCs/>
          <w:color w:val="313335"/>
          <w:sz w:val="24"/>
          <w:szCs w:val="24"/>
        </w:rPr>
        <w:t>Sec. 6.06. - City commission involvement prohibited.</w:t>
      </w:r>
    </w:p>
    <w:p w14:paraId="37AADAD2" w14:textId="62AF4094" w:rsidR="00CD2A26" w:rsidRPr="00AE70DE" w:rsidRDefault="00CD2A26" w:rsidP="00AE70DE">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AE70DE">
        <w:rPr>
          <w:rFonts w:ascii="Arial" w:eastAsia="Times New Roman" w:hAnsi="Arial" w:cs="Arial"/>
          <w:color w:val="313335"/>
          <w:spacing w:val="2"/>
          <w:sz w:val="24"/>
          <w:szCs w:val="24"/>
        </w:rPr>
        <w:lastRenderedPageBreak/>
        <w:t xml:space="preserve">Neither the city commission, any of its committees, nor any of its members, individually or collectively, shall direct the appointment of any person to, or removal from, office by the city manager or any of the manager's subordinates, or in any manner, directly or indirectly, take part in the appointment or removal of any officer or employee in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except as provided in</w:t>
      </w:r>
      <w:hyperlink r:id="rId9" w:history="1">
        <w:r w:rsidRPr="00AE70DE">
          <w:rPr>
            <w:rFonts w:ascii="Arial" w:eastAsia="Times New Roman" w:hAnsi="Arial" w:cs="Arial"/>
            <w:color w:val="096FCC"/>
            <w:spacing w:val="2"/>
            <w:sz w:val="24"/>
            <w:szCs w:val="24"/>
            <w:u w:val="single"/>
          </w:rPr>
          <w:t> section 6.02</w:t>
        </w:r>
      </w:hyperlink>
      <w:r w:rsidRPr="00AE70DE">
        <w:rPr>
          <w:rFonts w:ascii="Arial" w:eastAsia="Times New Roman" w:hAnsi="Arial" w:cs="Arial"/>
          <w:color w:val="313335"/>
          <w:spacing w:val="2"/>
          <w:sz w:val="24"/>
          <w:szCs w:val="24"/>
        </w:rPr>
        <w:t xml:space="preserve"> of this article. All inquiry dealing with any portion of the classified or </w:t>
      </w:r>
      <w:proofErr w:type="spellStart"/>
      <w:r w:rsidRPr="00AE70DE">
        <w:rPr>
          <w:rFonts w:ascii="Arial" w:eastAsia="Times New Roman" w:hAnsi="Arial" w:cs="Arial"/>
          <w:color w:val="313335"/>
          <w:spacing w:val="2"/>
          <w:sz w:val="24"/>
          <w:szCs w:val="24"/>
        </w:rPr>
        <w:t>nonclassified</w:t>
      </w:r>
      <w:proofErr w:type="spellEnd"/>
      <w:r w:rsidRPr="00AE70DE">
        <w:rPr>
          <w:rFonts w:ascii="Arial" w:eastAsia="Times New Roman" w:hAnsi="Arial" w:cs="Arial"/>
          <w:color w:val="313335"/>
          <w:spacing w:val="2"/>
          <w:sz w:val="24"/>
          <w:szCs w:val="24"/>
        </w:rPr>
        <w:t xml:space="preserve"> service of the city shall be with the city manager, except </w:t>
      </w:r>
      <w:proofErr w:type="gramStart"/>
      <w:r w:rsidRPr="00AE70DE">
        <w:rPr>
          <w:rFonts w:ascii="Arial" w:eastAsia="Times New Roman" w:hAnsi="Arial" w:cs="Arial"/>
          <w:color w:val="313335"/>
          <w:spacing w:val="2"/>
          <w:sz w:val="24"/>
          <w:szCs w:val="24"/>
        </w:rPr>
        <w:t>with regard to</w:t>
      </w:r>
      <w:proofErr w:type="gramEnd"/>
      <w:r w:rsidRPr="00AE70DE">
        <w:rPr>
          <w:rFonts w:ascii="Arial" w:eastAsia="Times New Roman" w:hAnsi="Arial" w:cs="Arial"/>
          <w:color w:val="313335"/>
          <w:spacing w:val="2"/>
          <w:sz w:val="24"/>
          <w:szCs w:val="24"/>
        </w:rPr>
        <w:t xml:space="preserve"> assistant city clerks, assistant city auditors, and except with regard to commission assistants, neither the city commission nor any member thereof shall give any orders to any subordinate or officer of the city, either publicly or privately, directly or indirectly. Any violation of the provisions of this section by a member of the city commission shall be considered misfeasance in office and grounds for an appropriate judicial remedy or a request that the governor of the State of Florida suspend such member pursuant to Section 112.51, Florida Statutes (2023), as may be amended or revised.</w:t>
      </w:r>
    </w:p>
    <w:p w14:paraId="6515623D" w14:textId="309979A4" w:rsidR="00CD2A26" w:rsidRPr="00AE70DE" w:rsidRDefault="00CD2A26" w:rsidP="00AE70DE">
      <w:pPr>
        <w:ind w:left="360"/>
        <w:rPr>
          <w:rFonts w:ascii="Arial" w:hAnsi="Arial" w:cs="Arial"/>
          <w:sz w:val="24"/>
          <w:szCs w:val="24"/>
        </w:rPr>
      </w:pPr>
      <w:r w:rsidRPr="00AE70DE">
        <w:rPr>
          <w:rFonts w:ascii="Arial" w:eastAsia="Times New Roman" w:hAnsi="Arial" w:cs="Arial"/>
          <w:color w:val="313335"/>
          <w:spacing w:val="2"/>
          <w:sz w:val="24"/>
          <w:szCs w:val="24"/>
        </w:rPr>
        <w:t>( </w:t>
      </w:r>
      <w:hyperlink r:id="rId10" w:history="1">
        <w:r w:rsidRPr="00AE70DE">
          <w:rPr>
            <w:rFonts w:ascii="Arial" w:eastAsia="Times New Roman" w:hAnsi="Arial" w:cs="Arial"/>
            <w:color w:val="096FCC"/>
            <w:spacing w:val="2"/>
            <w:sz w:val="24"/>
            <w:szCs w:val="24"/>
            <w:u w:val="single"/>
          </w:rPr>
          <w:t>Ord. No. C-04-38, § 2, 7-26-04 </w:t>
        </w:r>
      </w:hyperlink>
      <w:r w:rsidRPr="00AE70DE">
        <w:rPr>
          <w:rFonts w:ascii="Arial" w:eastAsia="Times New Roman" w:hAnsi="Arial" w:cs="Arial"/>
          <w:color w:val="313335"/>
          <w:spacing w:val="2"/>
          <w:sz w:val="24"/>
          <w:szCs w:val="24"/>
        </w:rPr>
        <w:t>; Ord. No. C-08-25, § 3, 6-17-08/11-4-08)</w:t>
      </w:r>
    </w:p>
    <w:sectPr w:rsidR="00CD2A26" w:rsidRPr="00AE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97AB8"/>
    <w:multiLevelType w:val="multilevel"/>
    <w:tmpl w:val="81B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36F8D"/>
    <w:multiLevelType w:val="multilevel"/>
    <w:tmpl w:val="67E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103631">
    <w:abstractNumId w:val="0"/>
  </w:num>
  <w:num w:numId="2" w16cid:durableId="98955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0"/>
    <w:rsid w:val="001E0638"/>
    <w:rsid w:val="004D2DD1"/>
    <w:rsid w:val="008070C0"/>
    <w:rsid w:val="00AB7988"/>
    <w:rsid w:val="00AE70DE"/>
    <w:rsid w:val="00CD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DC48"/>
  <w15:chartTrackingRefBased/>
  <w15:docId w15:val="{1DE5D297-249C-4F9D-BBFB-BB908289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1574">
      <w:bodyDiv w:val="1"/>
      <w:marLeft w:val="0"/>
      <w:marRight w:val="0"/>
      <w:marTop w:val="0"/>
      <w:marBottom w:val="0"/>
      <w:divBdr>
        <w:top w:val="none" w:sz="0" w:space="0" w:color="auto"/>
        <w:left w:val="none" w:sz="0" w:space="0" w:color="auto"/>
        <w:bottom w:val="none" w:sz="0" w:space="0" w:color="auto"/>
        <w:right w:val="none" w:sz="0" w:space="0" w:color="auto"/>
      </w:divBdr>
      <w:divsChild>
        <w:div w:id="1819375007">
          <w:marLeft w:val="0"/>
          <w:marRight w:val="0"/>
          <w:marTop w:val="0"/>
          <w:marBottom w:val="0"/>
          <w:divBdr>
            <w:top w:val="none" w:sz="0" w:space="0" w:color="auto"/>
            <w:left w:val="none" w:sz="0" w:space="0" w:color="auto"/>
            <w:bottom w:val="none" w:sz="0" w:space="0" w:color="auto"/>
            <w:right w:val="none" w:sz="0" w:space="0" w:color="auto"/>
          </w:divBdr>
          <w:divsChild>
            <w:div w:id="722485609">
              <w:marLeft w:val="0"/>
              <w:marRight w:val="0"/>
              <w:marTop w:val="0"/>
              <w:marBottom w:val="0"/>
              <w:divBdr>
                <w:top w:val="none" w:sz="0" w:space="0" w:color="auto"/>
                <w:left w:val="none" w:sz="0" w:space="0" w:color="auto"/>
                <w:bottom w:val="none" w:sz="0" w:space="0" w:color="auto"/>
                <w:right w:val="none" w:sz="0" w:space="0" w:color="auto"/>
              </w:divBdr>
              <w:divsChild>
                <w:div w:id="213739731">
                  <w:marLeft w:val="0"/>
                  <w:marRight w:val="0"/>
                  <w:marTop w:val="120"/>
                  <w:marBottom w:val="120"/>
                  <w:divBdr>
                    <w:top w:val="none" w:sz="0" w:space="0" w:color="auto"/>
                    <w:left w:val="none" w:sz="0" w:space="0" w:color="auto"/>
                    <w:bottom w:val="none" w:sz="0" w:space="0" w:color="auto"/>
                    <w:right w:val="none" w:sz="0" w:space="0" w:color="auto"/>
                  </w:divBdr>
                  <w:divsChild>
                    <w:div w:id="1796363566">
                      <w:marLeft w:val="0"/>
                      <w:marRight w:val="0"/>
                      <w:marTop w:val="0"/>
                      <w:marBottom w:val="0"/>
                      <w:divBdr>
                        <w:top w:val="none" w:sz="0" w:space="0" w:color="auto"/>
                        <w:left w:val="none" w:sz="0" w:space="0" w:color="auto"/>
                        <w:bottom w:val="none" w:sz="0" w:space="0" w:color="auto"/>
                        <w:right w:val="none" w:sz="0" w:space="0" w:color="auto"/>
                      </w:divBdr>
                      <w:divsChild>
                        <w:div w:id="841042481">
                          <w:marLeft w:val="0"/>
                          <w:marRight w:val="0"/>
                          <w:marTop w:val="0"/>
                          <w:marBottom w:val="0"/>
                          <w:divBdr>
                            <w:top w:val="none" w:sz="0" w:space="0" w:color="auto"/>
                            <w:left w:val="none" w:sz="0" w:space="0" w:color="auto"/>
                            <w:bottom w:val="none" w:sz="0" w:space="0" w:color="auto"/>
                            <w:right w:val="none" w:sz="0" w:space="0" w:color="auto"/>
                          </w:divBdr>
                        </w:div>
                      </w:divsChild>
                    </w:div>
                    <w:div w:id="1896432892">
                      <w:marLeft w:val="0"/>
                      <w:marRight w:val="0"/>
                      <w:marTop w:val="0"/>
                      <w:marBottom w:val="0"/>
                      <w:divBdr>
                        <w:top w:val="none" w:sz="0" w:space="0" w:color="auto"/>
                        <w:left w:val="none" w:sz="0" w:space="0" w:color="auto"/>
                        <w:bottom w:val="none" w:sz="0" w:space="0" w:color="auto"/>
                        <w:right w:val="none" w:sz="0" w:space="0" w:color="auto"/>
                      </w:divBdr>
                      <w:divsChild>
                        <w:div w:id="1591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185">
                  <w:marLeft w:val="0"/>
                  <w:marRight w:val="0"/>
                  <w:marTop w:val="0"/>
                  <w:marBottom w:val="0"/>
                  <w:divBdr>
                    <w:top w:val="none" w:sz="0" w:space="0" w:color="auto"/>
                    <w:left w:val="none" w:sz="0" w:space="0" w:color="auto"/>
                    <w:bottom w:val="none" w:sz="0" w:space="0" w:color="auto"/>
                    <w:right w:val="none" w:sz="0" w:space="0" w:color="auto"/>
                  </w:divBdr>
                  <w:divsChild>
                    <w:div w:id="4828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29977">
      <w:bodyDiv w:val="1"/>
      <w:marLeft w:val="0"/>
      <w:marRight w:val="0"/>
      <w:marTop w:val="0"/>
      <w:marBottom w:val="0"/>
      <w:divBdr>
        <w:top w:val="none" w:sz="0" w:space="0" w:color="auto"/>
        <w:left w:val="none" w:sz="0" w:space="0" w:color="auto"/>
        <w:bottom w:val="none" w:sz="0" w:space="0" w:color="auto"/>
        <w:right w:val="none" w:sz="0" w:space="0" w:color="auto"/>
      </w:divBdr>
      <w:divsChild>
        <w:div w:id="570962892">
          <w:marLeft w:val="0"/>
          <w:marRight w:val="0"/>
          <w:marTop w:val="0"/>
          <w:marBottom w:val="0"/>
          <w:divBdr>
            <w:top w:val="none" w:sz="0" w:space="0" w:color="auto"/>
            <w:left w:val="none" w:sz="0" w:space="0" w:color="auto"/>
            <w:bottom w:val="none" w:sz="0" w:space="0" w:color="auto"/>
            <w:right w:val="none" w:sz="0" w:space="0" w:color="auto"/>
          </w:divBdr>
          <w:divsChild>
            <w:div w:id="896361683">
              <w:marLeft w:val="0"/>
              <w:marRight w:val="0"/>
              <w:marTop w:val="0"/>
              <w:marBottom w:val="0"/>
              <w:divBdr>
                <w:top w:val="none" w:sz="0" w:space="0" w:color="auto"/>
                <w:left w:val="none" w:sz="0" w:space="0" w:color="auto"/>
                <w:bottom w:val="none" w:sz="0" w:space="0" w:color="auto"/>
                <w:right w:val="none" w:sz="0" w:space="0" w:color="auto"/>
              </w:divBdr>
              <w:divsChild>
                <w:div w:id="1231767624">
                  <w:marLeft w:val="0"/>
                  <w:marRight w:val="0"/>
                  <w:marTop w:val="120"/>
                  <w:marBottom w:val="120"/>
                  <w:divBdr>
                    <w:top w:val="none" w:sz="0" w:space="0" w:color="auto"/>
                    <w:left w:val="none" w:sz="0" w:space="0" w:color="auto"/>
                    <w:bottom w:val="none" w:sz="0" w:space="0" w:color="auto"/>
                    <w:right w:val="none" w:sz="0" w:space="0" w:color="auto"/>
                  </w:divBdr>
                  <w:divsChild>
                    <w:div w:id="1891501562">
                      <w:marLeft w:val="0"/>
                      <w:marRight w:val="0"/>
                      <w:marTop w:val="0"/>
                      <w:marBottom w:val="0"/>
                      <w:divBdr>
                        <w:top w:val="none" w:sz="0" w:space="0" w:color="auto"/>
                        <w:left w:val="none" w:sz="0" w:space="0" w:color="auto"/>
                        <w:bottom w:val="none" w:sz="0" w:space="0" w:color="auto"/>
                        <w:right w:val="none" w:sz="0" w:space="0" w:color="auto"/>
                      </w:divBdr>
                      <w:divsChild>
                        <w:div w:id="643119688">
                          <w:marLeft w:val="0"/>
                          <w:marRight w:val="0"/>
                          <w:marTop w:val="0"/>
                          <w:marBottom w:val="0"/>
                          <w:divBdr>
                            <w:top w:val="none" w:sz="0" w:space="0" w:color="auto"/>
                            <w:left w:val="none" w:sz="0" w:space="0" w:color="auto"/>
                            <w:bottom w:val="none" w:sz="0" w:space="0" w:color="auto"/>
                            <w:right w:val="none" w:sz="0" w:space="0" w:color="auto"/>
                          </w:divBdr>
                        </w:div>
                      </w:divsChild>
                    </w:div>
                    <w:div w:id="1815759012">
                      <w:marLeft w:val="0"/>
                      <w:marRight w:val="0"/>
                      <w:marTop w:val="0"/>
                      <w:marBottom w:val="0"/>
                      <w:divBdr>
                        <w:top w:val="none" w:sz="0" w:space="0" w:color="auto"/>
                        <w:left w:val="none" w:sz="0" w:space="0" w:color="auto"/>
                        <w:bottom w:val="none" w:sz="0" w:space="0" w:color="auto"/>
                        <w:right w:val="none" w:sz="0" w:space="0" w:color="auto"/>
                      </w:divBdr>
                      <w:divsChild>
                        <w:div w:id="16877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087">
                  <w:marLeft w:val="0"/>
                  <w:marRight w:val="0"/>
                  <w:marTop w:val="0"/>
                  <w:marBottom w:val="0"/>
                  <w:divBdr>
                    <w:top w:val="none" w:sz="0" w:space="0" w:color="auto"/>
                    <w:left w:val="none" w:sz="0" w:space="0" w:color="auto"/>
                    <w:bottom w:val="none" w:sz="0" w:space="0" w:color="auto"/>
                    <w:right w:val="none" w:sz="0" w:space="0" w:color="auto"/>
                  </w:divBdr>
                  <w:divsChild>
                    <w:div w:id="5549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fort_lauderdale/ordinances/code_of_ordinances?nodeId=123435" TargetMode="External"/><Relationship Id="rId3" Type="http://schemas.openxmlformats.org/officeDocument/2006/relationships/settings" Target="settings.xml"/><Relationship Id="rId7" Type="http://schemas.openxmlformats.org/officeDocument/2006/relationships/hyperlink" Target="https://library.municode.com/fl/fort_lauderdale/codes/code_of_ordinances?nodeId=CHFOLAFL_ARTVICISESY_S6.02CLN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municode.com/fl/fort_lauderdale/ordinances/code_of_ordinances?nodeId=123435" TargetMode="External"/><Relationship Id="rId11" Type="http://schemas.openxmlformats.org/officeDocument/2006/relationships/fontTable" Target="fontTable.xml"/><Relationship Id="rId5" Type="http://schemas.openxmlformats.org/officeDocument/2006/relationships/hyperlink" Target="https://library.municode.com/fl/fort_lauderdale/codes/code_of_ordinances?nodeId=CHFOLAFL_ARTVICISESY_S6.02CLNOSE" TargetMode="External"/><Relationship Id="rId10" Type="http://schemas.openxmlformats.org/officeDocument/2006/relationships/hyperlink" Target="https://library.municode.com/fl/fort_lauderdale/ordinances/code_of_ordinances?nodeId=123435" TargetMode="External"/><Relationship Id="rId4" Type="http://schemas.openxmlformats.org/officeDocument/2006/relationships/webSettings" Target="webSettings.xml"/><Relationship Id="rId9" Type="http://schemas.openxmlformats.org/officeDocument/2006/relationships/hyperlink" Target="https://library.municode.com/fl/fort_lauderdale/codes/code_of_ordinances?nodeId=CHFOLAFL_ARTVICISESY_S6.02CLN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2023-09-27T18:19:00Z</dcterms:created>
  <dcterms:modified xsi:type="dcterms:W3CDTF">2023-09-27T18:19:00Z</dcterms:modified>
</cp:coreProperties>
</file>