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0 -->
  <w:body>
    <w:p>
      <w:pPr>
        <w:spacing w:before="0" w:after="0"/>
        <w:jc w:val="center"/>
      </w:pPr>
      <w:r>
        <w:rPr>
          <w:strike w:val="0"/>
          <w:u w:val="none"/>
        </w:rPr>
        <w:drawing>
          <wp:anchor simplePos="0" relativeHeight="251658240" behindDoc="1" locked="0" layoutInCell="1" allowOverlap="1">
            <wp:simplePos x="0" y="0"/>
            <wp:positionH relativeFrom="column">
              <wp:posOffset>-314325</wp:posOffset>
            </wp:positionH>
            <wp:positionV relativeFrom="paragraph">
              <wp:posOffset>-123825</wp:posOffset>
            </wp:positionV>
            <wp:extent cx="1447800" cy="1190625"/>
            <wp:wrapNone/>
            <wp:docPr id="100001" name=""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447800" cy="1190625"/>
                    </a:xfrm>
                    <a:prstGeom prst="rect">
                      <a:avLst/>
                    </a:prstGeom>
                  </pic:spPr>
                </pic:pic>
              </a:graphicData>
            </a:graphic>
          </wp:anchor>
        </w:drawing>
      </w:r>
      <w:r>
        <w:rPr>
          <w:rFonts w:ascii="Arial" w:eastAsia="Arial" w:hAnsi="Arial" w:cs="Arial"/>
          <w:b/>
          <w:bCs/>
          <w:color w:val="FF0000"/>
        </w:rPr>
        <w:t>DRAFT</w:t>
      </w:r>
    </w:p>
    <w:p>
      <w:pPr>
        <w:spacing w:before="0" w:after="0"/>
        <w:jc w:val="center"/>
      </w:pPr>
      <w:r>
        <w:rPr>
          <w:rFonts w:ascii="Arial" w:eastAsia="Arial" w:hAnsi="Arial" w:cs="Arial"/>
          <w:b/>
          <w:bCs/>
        </w:rPr>
        <w:t>MEETING MINUTES</w:t>
      </w:r>
    </w:p>
    <w:p>
      <w:pPr>
        <w:spacing w:before="0" w:after="0"/>
        <w:jc w:val="center"/>
      </w:pPr>
      <w:r>
        <w:rPr>
          <w:rFonts w:ascii="Arial" w:eastAsia="Arial" w:hAnsi="Arial" w:cs="Arial"/>
          <w:b/>
          <w:bCs/>
        </w:rPr>
        <w:t>CITY OF FORT LAUDERDALE</w:t>
      </w:r>
    </w:p>
    <w:p>
      <w:pPr>
        <w:spacing w:before="0" w:after="0"/>
        <w:jc w:val="center"/>
      </w:pPr>
      <w:r>
        <w:rPr>
          <w:rFonts w:ascii="Arial" w:eastAsia="Arial" w:hAnsi="Arial" w:cs="Arial"/>
          <w:b/>
          <w:bCs/>
        </w:rPr>
        <w:t>CHARTER REVISION BOARD</w:t>
      </w:r>
    </w:p>
    <w:p>
      <w:pPr>
        <w:spacing w:before="0" w:after="0"/>
        <w:jc w:val="center"/>
      </w:pPr>
      <w:r>
        <w:rPr>
          <w:rFonts w:ascii="Arial" w:eastAsia="Arial" w:hAnsi="Arial" w:cs="Arial"/>
          <w:b/>
          <w:bCs/>
        </w:rPr>
        <w:t>FORT LAUDERDALE EXECUTIVE AIRPORT</w:t>
      </w:r>
    </w:p>
    <w:p>
      <w:pPr>
        <w:spacing w:before="0" w:after="0"/>
        <w:jc w:val="center"/>
      </w:pPr>
      <w:r>
        <w:rPr>
          <w:rFonts w:ascii="Arial" w:eastAsia="Arial" w:hAnsi="Arial" w:cs="Arial"/>
          <w:b/>
          <w:bCs/>
        </w:rPr>
        <w:t>RED TAILS CONFERENCE ROOM</w:t>
      </w:r>
    </w:p>
    <w:p>
      <w:pPr>
        <w:spacing w:before="0" w:after="0"/>
        <w:jc w:val="center"/>
      </w:pPr>
      <w:r>
        <w:rPr>
          <w:rFonts w:ascii="Arial" w:eastAsia="Arial" w:hAnsi="Arial" w:cs="Arial"/>
          <w:b/>
          <w:bCs/>
        </w:rPr>
        <w:t>6000 NW 21</w:t>
      </w:r>
      <w:r>
        <w:rPr>
          <w:rFonts w:ascii="Arial" w:eastAsia="Arial" w:hAnsi="Arial" w:cs="Arial"/>
          <w:b/>
          <w:bCs/>
          <w:vertAlign w:val="superscript"/>
        </w:rPr>
        <w:t>ST</w:t>
      </w:r>
      <w:r>
        <w:rPr>
          <w:rFonts w:ascii="Arial" w:eastAsia="Arial" w:hAnsi="Arial" w:cs="Arial"/>
          <w:b/>
          <w:bCs/>
        </w:rPr>
        <w:t xml:space="preserve"> AVENUE, FORT LAUDERDALE, FLORIDA 33309</w:t>
      </w:r>
    </w:p>
    <w:p>
      <w:pPr>
        <w:spacing w:before="0" w:after="0"/>
        <w:jc w:val="center"/>
      </w:pPr>
      <w:r>
        <w:rPr>
          <w:rFonts w:ascii="Arial" w:eastAsia="Arial" w:hAnsi="Arial" w:cs="Arial"/>
          <w:b/>
          <w:bCs/>
        </w:rPr>
        <w:t>THURSDAY, JUNE 1, 2023 – 5:30 P.M.</w:t>
      </w:r>
    </w:p>
    <w:p>
      <w:pPr>
        <w:spacing w:before="0" w:after="0"/>
        <w:jc w:val="both"/>
        <w:rPr>
          <w:rFonts w:ascii="Arial" w:eastAsia="Arial" w:hAnsi="Arial" w:cs="Arial"/>
          <w:sz w:val="24"/>
          <w:szCs w:val="24"/>
        </w:rPr>
      </w:pPr>
    </w:p>
    <w:tbl>
      <w:tblPr>
        <w:tblCellMar>
          <w:top w:w="0" w:type="dxa"/>
          <w:left w:w="0" w:type="dxa"/>
          <w:bottom w:w="0" w:type="dxa"/>
          <w:right w:w="0" w:type="dxa"/>
        </w:tblCellMar>
      </w:tblPr>
      <w:tblGrid>
        <w:gridCol w:w="3992"/>
        <w:gridCol w:w="1856"/>
        <w:gridCol w:w="3512"/>
      </w:tblGrid>
      <w:tr>
        <w:tblPrEx>
          <w:tblCellMar>
            <w:top w:w="0" w:type="dxa"/>
            <w:left w:w="0" w:type="dxa"/>
            <w:bottom w:w="0" w:type="dxa"/>
            <w:right w:w="0" w:type="dxa"/>
          </w:tblCellMar>
        </w:tblPrEx>
        <w:tc>
          <w:tcPr>
            <w:tcW w:w="4258"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1630"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3718" w:type="dxa"/>
            <w:noWrap w:val="0"/>
            <w:tcMar>
              <w:top w:w="0" w:type="dxa"/>
              <w:left w:w="113" w:type="dxa"/>
              <w:bottom w:w="0" w:type="dxa"/>
              <w:right w:w="113" w:type="dxa"/>
            </w:tcMar>
            <w:vAlign w:val="top"/>
            <w:hideMark/>
          </w:tcPr>
          <w:p>
            <w:pPr>
              <w:spacing w:before="0" w:after="0" w:line="276" w:lineRule="auto"/>
              <w:jc w:val="center"/>
              <w:rPr>
                <w:b w:val="0"/>
                <w:bCs w:val="0"/>
                <w:i w:val="0"/>
                <w:iCs w:val="0"/>
                <w:smallCaps w:val="0"/>
                <w:color w:val="000000"/>
              </w:rPr>
            </w:pPr>
            <w:r>
              <w:rPr>
                <w:rFonts w:ascii="Arial" w:eastAsia="Arial" w:hAnsi="Arial" w:cs="Arial"/>
                <w:b/>
                <w:bCs/>
                <w:i w:val="0"/>
                <w:iCs w:val="0"/>
                <w:smallCaps w:val="0"/>
                <w:color w:val="000000"/>
              </w:rPr>
              <w:t>Cumulative Attendance</w:t>
            </w:r>
          </w:p>
        </w:tc>
      </w:tr>
      <w:tr>
        <w:tblPrEx>
          <w:tblCellMar>
            <w:top w:w="0" w:type="dxa"/>
            <w:left w:w="0" w:type="dxa"/>
            <w:bottom w:w="0" w:type="dxa"/>
            <w:right w:w="0" w:type="dxa"/>
          </w:tblCellMar>
        </w:tblPrEx>
        <w:tc>
          <w:tcPr>
            <w:tcW w:w="4258"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1630"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3718" w:type="dxa"/>
            <w:noWrap w:val="0"/>
            <w:tcMar>
              <w:top w:w="0" w:type="dxa"/>
              <w:left w:w="113" w:type="dxa"/>
              <w:bottom w:w="0" w:type="dxa"/>
              <w:right w:w="113" w:type="dxa"/>
            </w:tcMar>
            <w:vAlign w:val="top"/>
            <w:hideMark/>
          </w:tcPr>
          <w:p>
            <w:pPr>
              <w:spacing w:before="0" w:after="0" w:line="276" w:lineRule="auto"/>
              <w:jc w:val="center"/>
              <w:rPr>
                <w:b w:val="0"/>
                <w:bCs w:val="0"/>
                <w:i w:val="0"/>
                <w:iCs w:val="0"/>
                <w:smallCaps w:val="0"/>
                <w:color w:val="000000"/>
              </w:rPr>
            </w:pPr>
            <w:r>
              <w:rPr>
                <w:rFonts w:ascii="Arial" w:eastAsia="Arial" w:hAnsi="Arial" w:cs="Arial"/>
                <w:b/>
                <w:bCs/>
                <w:i w:val="0"/>
                <w:iCs w:val="0"/>
                <w:smallCaps w:val="0"/>
                <w:color w:val="000000"/>
              </w:rPr>
              <w:t>January-December 2023</w:t>
            </w:r>
          </w:p>
        </w:tc>
      </w:tr>
    </w:tbl>
    <w:p>
      <w:pPr>
        <w:spacing w:before="0" w:after="0"/>
        <w:rPr>
          <w:rFonts w:ascii="Arial" w:eastAsia="Arial" w:hAnsi="Arial" w:cs="Arial"/>
          <w:sz w:val="24"/>
          <w:szCs w:val="24"/>
        </w:rPr>
      </w:pPr>
    </w:p>
    <w:p>
      <w:pPr>
        <w:spacing w:before="0" w:after="0"/>
        <w:rPr>
          <w:rFonts w:ascii="Times New Roman" w:eastAsia="Times New Roman" w:hAnsi="Times New Roman" w:cs="Times New Roman"/>
          <w:sz w:val="24"/>
          <w:szCs w:val="24"/>
        </w:rPr>
      </w:pPr>
      <w:r>
        <w:rPr>
          <w:rFonts w:ascii="Arial" w:eastAsia="Arial" w:hAnsi="Arial" w:cs="Arial"/>
        </w:rPr>
        <w:t>Judith Stern, Chair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Christopher Fertig, Vice Chair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 xml:space="preserve">Harrison Grandwilliams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 xml:space="preserve">Ben Sorensen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Richard Weiss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Arial" w:eastAsia="Arial" w:hAnsi="Arial" w:cs="Arial"/>
          <w:sz w:val="24"/>
          <w:szCs w:val="24"/>
        </w:rPr>
      </w:pPr>
    </w:p>
    <w:p>
      <w:pPr>
        <w:spacing w:before="0" w:after="0"/>
        <w:jc w:val="both"/>
      </w:pPr>
      <w:r>
        <w:rPr>
          <w:rFonts w:ascii="Arial" w:eastAsia="Arial" w:hAnsi="Arial" w:cs="Arial"/>
          <w:b/>
          <w:bCs/>
          <w:u w:val="single"/>
        </w:rPr>
        <w:t>Staff</w:t>
      </w:r>
    </w:p>
    <w:p>
      <w:pPr>
        <w:spacing w:before="0" w:after="0"/>
        <w:jc w:val="both"/>
      </w:pPr>
      <w:r>
        <w:rPr>
          <w:rFonts w:ascii="Arial" w:eastAsia="Arial" w:hAnsi="Arial" w:cs="Arial"/>
        </w:rPr>
        <w:t>Junia J. Robinson, Assistant Neighbor Support Manager, MPA</w:t>
      </w:r>
    </w:p>
    <w:p>
      <w:pPr>
        <w:spacing w:before="0" w:after="0"/>
        <w:jc w:val="both"/>
      </w:pPr>
      <w:r>
        <w:rPr>
          <w:rFonts w:ascii="Arial" w:eastAsia="Arial" w:hAnsi="Arial" w:cs="Arial"/>
        </w:rPr>
        <w:t xml:space="preserve">Dean Trantalis, Mayor of Fort Lauderdale </w:t>
      </w:r>
    </w:p>
    <w:p>
      <w:pPr>
        <w:spacing w:before="0" w:after="0"/>
        <w:jc w:val="both"/>
      </w:pPr>
      <w:r>
        <w:rPr>
          <w:rFonts w:ascii="Arial" w:eastAsia="Arial" w:hAnsi="Arial" w:cs="Arial"/>
        </w:rPr>
        <w:t>Paul Bangel, Assistant City Attorney</w:t>
      </w:r>
    </w:p>
    <w:p>
      <w:pPr>
        <w:spacing w:before="0" w:after="0"/>
        <w:jc w:val="both"/>
      </w:pPr>
      <w:r>
        <w:rPr>
          <w:rFonts w:ascii="Arial" w:eastAsia="Arial" w:hAnsi="Arial" w:cs="Arial"/>
        </w:rPr>
        <w:t>Casandra Brown, Deputy City Clerk</w:t>
      </w:r>
    </w:p>
    <w:p>
      <w:pPr>
        <w:spacing w:before="0" w:after="0"/>
        <w:jc w:val="both"/>
      </w:pPr>
      <w:r>
        <w:rPr>
          <w:rFonts w:ascii="Arial" w:eastAsia="Arial" w:hAnsi="Arial" w:cs="Arial"/>
        </w:rPr>
        <w:t>Anthony Fajardo, Assistant City Manager</w:t>
      </w:r>
    </w:p>
    <w:p>
      <w:pPr>
        <w:spacing w:before="0" w:after="0"/>
        <w:jc w:val="both"/>
      </w:pPr>
      <w:r>
        <w:rPr>
          <w:rFonts w:ascii="Arial" w:eastAsia="Arial" w:hAnsi="Arial" w:cs="Arial"/>
        </w:rPr>
        <w:t>Daphnee Sainvil, Government Affairs and Economic Development Division Manager</w:t>
      </w:r>
    </w:p>
    <w:p>
      <w:pPr>
        <w:spacing w:before="0" w:after="0"/>
        <w:jc w:val="both"/>
      </w:pPr>
      <w:r>
        <w:rPr>
          <w:rFonts w:ascii="Arial" w:eastAsia="Arial" w:hAnsi="Arial" w:cs="Arial"/>
        </w:rPr>
        <w:t>Jeri Pryor, Office of Fort Lauderdale City Commissioner Warren Sturman</w:t>
      </w:r>
    </w:p>
    <w:p>
      <w:pPr>
        <w:spacing w:before="0" w:after="0"/>
        <w:jc w:val="both"/>
      </w:pPr>
      <w:r>
        <w:rPr>
          <w:rFonts w:ascii="Arial" w:eastAsia="Arial" w:hAnsi="Arial" w:cs="Arial"/>
        </w:rPr>
        <w:t>Jamie Opperlee, Recording Secretary, Prototype, Inc.</w:t>
      </w:r>
    </w:p>
    <w:p>
      <w:pPr>
        <w:spacing w:before="0" w:after="0"/>
        <w:jc w:val="both"/>
        <w:rPr>
          <w:rFonts w:ascii="Arial" w:eastAsia="Arial" w:hAnsi="Arial" w:cs="Arial"/>
          <w:sz w:val="24"/>
          <w:szCs w:val="24"/>
        </w:rPr>
      </w:pPr>
    </w:p>
    <w:p>
      <w:pPr>
        <w:spacing w:before="0" w:after="0"/>
        <w:jc w:val="both"/>
      </w:pPr>
      <w:r>
        <w:rPr>
          <w:rFonts w:ascii="Arial" w:eastAsia="Arial" w:hAnsi="Arial" w:cs="Arial"/>
          <w:b/>
          <w:bCs/>
          <w:u w:val="single"/>
        </w:rPr>
        <w:t>Communications to City Commission</w:t>
      </w:r>
    </w:p>
    <w:p>
      <w:pPr>
        <w:spacing w:before="0" w:after="0"/>
        <w:jc w:val="both"/>
        <w:rPr>
          <w:rFonts w:ascii="Arial" w:eastAsia="Arial" w:hAnsi="Arial" w:cs="Arial"/>
          <w:sz w:val="24"/>
          <w:szCs w:val="24"/>
        </w:rPr>
      </w:pPr>
    </w:p>
    <w:p>
      <w:pPr>
        <w:spacing w:before="0" w:after="0"/>
        <w:jc w:val="both"/>
      </w:pPr>
      <w:r>
        <w:rPr>
          <w:rFonts w:ascii="Arial" w:eastAsia="Arial" w:hAnsi="Arial" w:cs="Arial"/>
        </w:rPr>
        <w:t>None.</w:t>
      </w:r>
    </w:p>
    <w:p>
      <w:pPr>
        <w:spacing w:before="0" w:after="0"/>
        <w:jc w:val="both"/>
        <w:rPr>
          <w:rFonts w:ascii="Arial" w:eastAsia="Arial" w:hAnsi="Arial" w:cs="Arial"/>
          <w:sz w:val="24"/>
          <w:szCs w:val="24"/>
        </w:rPr>
      </w:pPr>
    </w:p>
    <w:p>
      <w:pPr>
        <w:numPr>
          <w:ilvl w:val="0"/>
          <w:numId w:val="1"/>
        </w:numPr>
        <w:pBdr>
          <w:left w:val="none" w:sz="0" w:space="21" w:color="auto"/>
        </w:pBdr>
        <w:spacing w:before="0" w:after="0"/>
        <w:ind w:left="1080" w:right="0" w:hanging="720"/>
        <w:jc w:val="both"/>
        <w:rPr>
          <w:rFonts w:ascii="Arial" w:eastAsia="Arial" w:hAnsi="Arial" w:cs="Arial"/>
          <w:b/>
          <w:bCs/>
        </w:rPr>
      </w:pPr>
      <w:r>
        <w:rPr>
          <w:rFonts w:ascii="Arial" w:eastAsia="Arial" w:hAnsi="Arial" w:cs="Arial"/>
          <w:b/>
          <w:bCs/>
        </w:rPr>
        <w:t>CALL TO ORDER / PLEDGE OF ALLEGIANCE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called the meeting to order at 5:31 p.m. and the Pledge of Allegiance was recited. </w:t>
      </w:r>
    </w:p>
    <w:p>
      <w:pPr>
        <w:spacing w:before="0" w:after="0"/>
        <w:jc w:val="both"/>
        <w:rPr>
          <w:rFonts w:ascii="Arial" w:eastAsia="Arial" w:hAnsi="Arial" w:cs="Arial"/>
          <w:sz w:val="24"/>
          <w:szCs w:val="24"/>
        </w:rPr>
      </w:pPr>
    </w:p>
    <w:p>
      <w:pPr>
        <w:numPr>
          <w:ilvl w:val="0"/>
          <w:numId w:val="2"/>
        </w:numPr>
        <w:pBdr>
          <w:left w:val="none" w:sz="0" w:space="17" w:color="auto"/>
        </w:pBdr>
        <w:spacing w:before="0" w:after="0"/>
        <w:ind w:left="1080" w:right="0" w:hanging="720"/>
        <w:jc w:val="both"/>
        <w:rPr>
          <w:rFonts w:ascii="Arial" w:eastAsia="Arial" w:hAnsi="Arial" w:cs="Arial"/>
          <w:b/>
          <w:bCs/>
        </w:rPr>
      </w:pPr>
      <w:r>
        <w:rPr>
          <w:rFonts w:ascii="Arial" w:eastAsia="Arial" w:hAnsi="Arial" w:cs="Arial"/>
          <w:b/>
          <w:bCs/>
        </w:rPr>
        <w:t>DETERMINATION OF QUORUM</w:t>
      </w:r>
    </w:p>
    <w:p>
      <w:pPr>
        <w:spacing w:before="0" w:after="0"/>
        <w:jc w:val="both"/>
        <w:rPr>
          <w:rFonts w:ascii="Arial" w:eastAsia="Arial" w:hAnsi="Arial" w:cs="Arial"/>
          <w:sz w:val="24"/>
          <w:szCs w:val="24"/>
        </w:rPr>
      </w:pPr>
    </w:p>
    <w:p>
      <w:pPr>
        <w:spacing w:before="0" w:after="0"/>
        <w:jc w:val="both"/>
      </w:pPr>
      <w:r>
        <w:rPr>
          <w:rFonts w:ascii="Arial" w:eastAsia="Arial" w:hAnsi="Arial" w:cs="Arial"/>
        </w:rPr>
        <w:t>Roll was called and it was noted a quorum was present at the meeting.</w:t>
      </w:r>
    </w:p>
    <w:p>
      <w:pPr>
        <w:spacing w:before="0" w:after="0"/>
        <w:jc w:val="both"/>
        <w:rPr>
          <w:rFonts w:ascii="Arial" w:eastAsia="Arial" w:hAnsi="Arial" w:cs="Arial"/>
          <w:sz w:val="24"/>
          <w:szCs w:val="24"/>
        </w:rPr>
      </w:pPr>
    </w:p>
    <w:p>
      <w:pPr>
        <w:numPr>
          <w:ilvl w:val="0"/>
          <w:numId w:val="3"/>
        </w:numPr>
        <w:pBdr>
          <w:left w:val="none" w:sz="0" w:space="13" w:color="auto"/>
        </w:pBdr>
        <w:spacing w:before="0" w:after="0"/>
        <w:ind w:left="1080" w:right="0" w:hanging="720"/>
        <w:jc w:val="both"/>
        <w:rPr>
          <w:rFonts w:ascii="Arial" w:eastAsia="Arial" w:hAnsi="Arial" w:cs="Arial"/>
          <w:b/>
          <w:bCs/>
        </w:rPr>
      </w:pPr>
      <w:r>
        <w:rPr>
          <w:rFonts w:ascii="Arial" w:eastAsia="Arial" w:hAnsi="Arial" w:cs="Arial"/>
          <w:b/>
          <w:bCs/>
        </w:rPr>
        <w:t>APPROVAL OF MAY 4</w:t>
      </w:r>
      <w:r>
        <w:rPr>
          <w:rFonts w:ascii="Arial" w:eastAsia="Arial" w:hAnsi="Arial" w:cs="Arial"/>
          <w:b/>
          <w:bCs/>
          <w:vertAlign w:val="superscript"/>
        </w:rPr>
        <w:t>TH</w:t>
      </w:r>
      <w:r>
        <w:rPr>
          <w:rFonts w:ascii="Arial" w:eastAsia="Arial" w:hAnsi="Arial" w:cs="Arial"/>
          <w:b/>
          <w:bCs/>
        </w:rPr>
        <w:t>, 2023 MEETING MINUTES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Sorensen addressed p.6, paragraph 6, requesting clarification of the final sentence, which states “Lobbying is prohibited for one year following termination of employment with the City or one year from the last day of service to the City in an official capacity.” Assistant City Attorney Paul Bangel explained that he had spoken generally regarding the sections of the City’s lobbying Ordinance which complement Broward County’s lobbying Ordinance. He noted that there may be a minor discrepancy between the two, as the City Ordinance’s catch line refers to lobbying by former City Commissioners, board members, and employees. He noted that the term “board members” does not appear in the text of the section of the lobbying Ordinance.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continued that he had referred to the text of the original Ordinance in the City Attorney’s Office, but that text did not provide additional guidance. He suggested looking into the City Commission Item to determine if there is any guidance there, reiterating that while the catch line includes a reference to board members, the actual text of the Ordinance states that the subsection’s provisions only apply to persons who are officers or employees of the City after the effective date of that section.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reviewed the language of the Ordinance, stating that it appears the Ordinance would only apply to elected officials or employees in specific management categories. He reiterated that the issue is that the catch line of the Ordinance includes the reference to board members, noting that it is also possible that the term “board” in this case may be intended as a catchall term for the Board of Commissioners.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Sorensen commented that in other places within the City’s Charter, board members are described as Officers. Chair Stern added that she did not feel the term “board members” was intended to specifically refer to members of the Charter Revision Board (CRB) who were appointed by City elected officials, particularly since the CRB is not a quasi-judicial entity.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stated that he would look into this issue further and determine whether or not the City Commission had intended to prohibit lobbyists from serving on City advisory bodies. Chair Stern requested that when the Assistant City Attorney brings back this information, she would also like to see a full list of all appointments to all the boards in the City for the CRB’s review. </w:t>
      </w:r>
    </w:p>
    <w:p>
      <w:pPr>
        <w:spacing w:before="0" w:after="0"/>
        <w:jc w:val="both"/>
        <w:rPr>
          <w:rFonts w:ascii="Arial" w:eastAsia="Arial" w:hAnsi="Arial" w:cs="Arial"/>
          <w:sz w:val="24"/>
          <w:szCs w:val="24"/>
        </w:rPr>
      </w:pPr>
    </w:p>
    <w:p>
      <w:pPr>
        <w:spacing w:before="0" w:after="0"/>
        <w:jc w:val="both"/>
      </w:pPr>
      <w:r>
        <w:rPr>
          <w:rFonts w:ascii="Arial" w:eastAsia="Arial" w:hAnsi="Arial" w:cs="Arial"/>
        </w:rPr>
        <w:t>Mr. Weiss noted that while the Assistant City Attorney’s statement on p.6, paragraph 6 of the May 4 may or may not be correct, the statement was made at the meeting. He proposed that this be clarified in order to prevent any misunderstanding.</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Motion</w:t>
      </w:r>
      <w:r>
        <w:rPr>
          <w:rFonts w:ascii="Arial" w:eastAsia="Arial" w:hAnsi="Arial" w:cs="Arial"/>
        </w:rPr>
        <w:t xml:space="preserve"> made by Mr. Weiss, seconded by Vice Chair Fertig, to defer approving these minutes to the next meeting. In a voice vote, the </w:t>
      </w:r>
      <w:r>
        <w:rPr>
          <w:rFonts w:ascii="Arial" w:eastAsia="Arial" w:hAnsi="Arial" w:cs="Arial"/>
          <w:b/>
          <w:bCs/>
        </w:rPr>
        <w:t>motion</w:t>
      </w:r>
      <w:r>
        <w:rPr>
          <w:rFonts w:ascii="Arial" w:eastAsia="Arial" w:hAnsi="Arial" w:cs="Arial"/>
        </w:rPr>
        <w:t xml:space="preserve"> passed unanimously. </w:t>
      </w:r>
    </w:p>
    <w:p>
      <w:pPr>
        <w:spacing w:before="0" w:after="0"/>
        <w:jc w:val="both"/>
        <w:rPr>
          <w:rFonts w:ascii="Arial" w:eastAsia="Arial" w:hAnsi="Arial" w:cs="Arial"/>
          <w:sz w:val="24"/>
          <w:szCs w:val="24"/>
        </w:rPr>
      </w:pPr>
    </w:p>
    <w:p>
      <w:pPr>
        <w:numPr>
          <w:ilvl w:val="0"/>
          <w:numId w:val="4"/>
        </w:numPr>
        <w:pBdr>
          <w:left w:val="none" w:sz="0" w:space="12" w:color="auto"/>
        </w:pBdr>
        <w:spacing w:before="0" w:after="0"/>
        <w:ind w:left="1080" w:right="0" w:hanging="720"/>
        <w:jc w:val="both"/>
        <w:rPr>
          <w:rFonts w:ascii="Arial" w:eastAsia="Arial" w:hAnsi="Arial" w:cs="Arial"/>
          <w:b/>
          <w:bCs/>
        </w:rPr>
      </w:pPr>
      <w:r>
        <w:rPr>
          <w:rFonts w:ascii="Arial" w:eastAsia="Arial" w:hAnsi="Arial" w:cs="Arial"/>
          <w:b/>
          <w:bCs/>
        </w:rPr>
        <w:t>OVERVIEW OF CITY CHARTER AND CODE PROVISIONS GOVERNING USE / LEASE / SALE OF CITY LAND</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advised that Government Affairs and Economic Development Division Manager Daphnee Sainvil is present at tonight’s meeting to address specific Florida Senate Bills (SBs) relating to this topic. Assistant City Manager Anthony Fajardo is also present, as he has expertise in the area of land lease and licensing agreements.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Ms. Sainvil explained that SB 540, which addresses local governments’ Comprehensive Plans, was passed and recently signed into law by the Governor. It will take effect on July 1, 2023. This bill provides that in challenges to Comprehensive Plans and Plan amendments, including small-scale planning amendments, the prevailing party is entitled to recover attorneys’ fees and costs, including reasonable appellate fees and costs. It also revises the State Statute regulating land development regulations to provide that these regulations, when relating to any characteristic of development other than use, intensity, or density of use, do not apply to the Florida collegiate system. Finally, it clarifies the scope of review for local government decisions to grant or deny a development order by providing that the order may only be challenged if it would materially alter the use, density, or intensity of the property in a manner not consistent with the Comprehensive Plan.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Ms. Sainvil continued that SB 102, the Live Local Act, will also become effective on July 1, 2023. In addition to its affordable housing aspects, this bill removes a local government’s ability to approve affordable housing on residential parcels by bypassing state and local laws which might have precluded the development. The Live Local Act will require local governments to electronically publish, on their websites, an inventory of publicly owned properties which may be appropriate for the development of affordable housing. It also includes policies for the issuance of expedited building orders and development permits. </w:t>
      </w:r>
    </w:p>
    <w:p>
      <w:pPr>
        <w:spacing w:before="0" w:after="0"/>
        <w:jc w:val="both"/>
        <w:rPr>
          <w:rFonts w:ascii="Arial" w:eastAsia="Arial" w:hAnsi="Arial" w:cs="Arial"/>
          <w:sz w:val="24"/>
          <w:szCs w:val="24"/>
        </w:rPr>
      </w:pPr>
    </w:p>
    <w:p>
      <w:pPr>
        <w:spacing w:before="0" w:after="0"/>
        <w:jc w:val="both"/>
      </w:pPr>
      <w:r>
        <w:rPr>
          <w:rFonts w:ascii="Arial" w:eastAsia="Arial" w:hAnsi="Arial" w:cs="Arial"/>
        </w:rPr>
        <w:t>Assistant City Manager Anthony Fajardo further clarified that the Live Local Act applies to residential zoning districts as well as to commercial and industrial zoning districts, as long as mixed use is permitted in those residential districts. These are typically higher-density residential districts, such as RMM-25 or RMH-25.</w:t>
      </w:r>
    </w:p>
    <w:p>
      <w:pPr>
        <w:spacing w:before="0" w:after="0"/>
        <w:jc w:val="both"/>
        <w:rPr>
          <w:rFonts w:ascii="Arial" w:eastAsia="Arial" w:hAnsi="Arial" w:cs="Arial"/>
          <w:sz w:val="24"/>
          <w:szCs w:val="24"/>
        </w:rPr>
      </w:pPr>
    </w:p>
    <w:p>
      <w:pPr>
        <w:spacing w:before="0" w:after="0"/>
        <w:ind w:left="1080"/>
        <w:jc w:val="both"/>
      </w:pPr>
      <w:r>
        <w:rPr>
          <w:rFonts w:ascii="Arial" w:eastAsia="Arial" w:hAnsi="Arial" w:cs="Arial"/>
          <w:b/>
          <w:bCs/>
        </w:rPr>
        <w:t>SPEAKER: CITY ATTORNEY’S OFFICE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explained that this presentation and its accompanying materials are divided into three sections, which he will review separately. All three sections address the City’s disposition and use of public properties. </w:t>
      </w:r>
    </w:p>
    <w:p>
      <w:pPr>
        <w:spacing w:before="0" w:after="0"/>
        <w:jc w:val="both"/>
        <w:rPr>
          <w:rFonts w:ascii="Arial" w:eastAsia="Arial" w:hAnsi="Arial" w:cs="Arial"/>
          <w:sz w:val="24"/>
          <w:szCs w:val="24"/>
        </w:rPr>
      </w:pPr>
    </w:p>
    <w:p>
      <w:pPr>
        <w:spacing w:before="0" w:after="0"/>
        <w:ind w:left="1080"/>
        <w:jc w:val="both"/>
      </w:pPr>
      <w:r>
        <w:rPr>
          <w:rFonts w:ascii="Arial" w:eastAsia="Arial" w:hAnsi="Arial" w:cs="Arial"/>
          <w:b/>
          <w:bCs/>
        </w:rPr>
        <w:t>SEE ATTACHED EXHIBITS</w:t>
      </w:r>
    </w:p>
    <w:p>
      <w:pPr>
        <w:spacing w:before="0" w:after="0"/>
        <w:ind w:left="1080"/>
        <w:jc w:val="both"/>
        <w:rPr>
          <w:rFonts w:ascii="Arial" w:eastAsia="Arial" w:hAnsi="Arial" w:cs="Arial"/>
          <w:sz w:val="24"/>
          <w:szCs w:val="24"/>
        </w:rPr>
      </w:pPr>
    </w:p>
    <w:p>
      <w:pPr>
        <w:spacing w:before="0"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Arial" w:eastAsia="Arial" w:hAnsi="Arial" w:cs="Arial"/>
          <w:b/>
          <w:bCs/>
        </w:rPr>
        <w:t>SECTION 1 – FORT LAUDERDALE CHARTER PROVISIONS</w:t>
      </w:r>
    </w:p>
    <w:p>
      <w:pPr>
        <w:spacing w:before="0" w:after="0"/>
        <w:jc w:val="both"/>
        <w:rPr>
          <w:rFonts w:ascii="Arial" w:eastAsia="Arial" w:hAnsi="Arial" w:cs="Arial"/>
          <w:sz w:val="24"/>
          <w:szCs w:val="24"/>
        </w:rPr>
      </w:pPr>
    </w:p>
    <w:p>
      <w:pPr>
        <w:spacing w:before="0" w:after="0"/>
        <w:ind w:left="1080" w:firstLine="360"/>
        <w:jc w:val="both"/>
      </w:pPr>
      <w:r>
        <w:rPr>
          <w:rFonts w:ascii="Arial" w:eastAsia="Arial" w:hAnsi="Arial" w:cs="Arial"/>
          <w:b/>
          <w:bCs/>
        </w:rPr>
        <w:t>SECTION 2 – FORT LAUDERDALE CODE PROVISIONS</w:t>
      </w:r>
    </w:p>
    <w:p>
      <w:pPr>
        <w:spacing w:before="0" w:after="0"/>
        <w:jc w:val="both"/>
        <w:rPr>
          <w:rFonts w:ascii="Arial" w:eastAsia="Arial" w:hAnsi="Arial" w:cs="Arial"/>
          <w:sz w:val="24"/>
          <w:szCs w:val="24"/>
        </w:rPr>
      </w:pPr>
    </w:p>
    <w:p>
      <w:pPr>
        <w:spacing w:before="0" w:after="0"/>
        <w:ind w:left="1440"/>
        <w:jc w:val="both"/>
      </w:pPr>
      <w:r>
        <w:rPr>
          <w:rFonts w:ascii="Arial" w:eastAsia="Arial" w:hAnsi="Arial" w:cs="Arial"/>
          <w:b/>
          <w:bCs/>
        </w:rPr>
        <w:t>SECTION 3 – APPLICABLE BROWARD COUNTY CHARTER PROVISIONS</w:t>
      </w:r>
    </w:p>
    <w:p>
      <w:pPr>
        <w:spacing w:before="0" w:after="0"/>
        <w:ind w:left="1440"/>
        <w:jc w:val="both"/>
        <w:rPr>
          <w:rFonts w:ascii="Arial" w:eastAsia="Arial" w:hAnsi="Arial" w:cs="Arial"/>
          <w:sz w:val="24"/>
          <w:szCs w:val="24"/>
        </w:rPr>
      </w:pPr>
    </w:p>
    <w:p>
      <w:pPr>
        <w:spacing w:before="0" w:after="0"/>
        <w:jc w:val="both"/>
      </w:pPr>
      <w:r>
        <w:rPr>
          <w:rFonts w:ascii="Arial" w:eastAsia="Arial" w:hAnsi="Arial" w:cs="Arial"/>
        </w:rPr>
        <w:t xml:space="preserve">Attorney Bangel stated that Section 8.01 of the City’s Charter addresses the sale of personal property. When the City sells any property that is not land or other real property, the sale must take place under competitive bidding conditions. If the price is over $5000, public notice must be published to potential bidders and the item or items are sold to the highest and best bidder for cash with no financing. Exceptions include depreciated personal property such as equipment that is traded for more up-to-date equipment.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Mr. Weiss requested clarification of sentences referring to the maintenance of competitive bidding conditions. Attorney Bangel replied that there are provisions in the City’s Purchasing Manual which require the receipt of three quotes, as well as provisions for “quick quotes” under specific circumstances. He explained that these provisions mean some type of competitive process is required, even if this is simply obtaining quoted prices. The process for property valued at over $5000, which must be published, is more formal.</w:t>
      </w:r>
    </w:p>
    <w:p>
      <w:pPr>
        <w:spacing w:before="0" w:after="0"/>
        <w:jc w:val="both"/>
        <w:rPr>
          <w:rFonts w:ascii="Arial" w:eastAsia="Arial" w:hAnsi="Arial" w:cs="Arial"/>
          <w:sz w:val="24"/>
          <w:szCs w:val="24"/>
        </w:rPr>
      </w:pPr>
    </w:p>
    <w:p>
      <w:pPr>
        <w:spacing w:before="0" w:after="0"/>
        <w:jc w:val="both"/>
      </w:pPr>
      <w:r>
        <w:rPr>
          <w:rFonts w:ascii="Arial" w:eastAsia="Arial" w:hAnsi="Arial" w:cs="Arial"/>
        </w:rPr>
        <w:t>Mr. Weiss noted that this Section was written roughly 40 years ago, and asked if the Board felt the $5000 limit should be raised, considering that this has been an issue for past City administrations. He pointed out that the value of $5000 has changed significantly during that time frame. He also felt this Section is written in a confusing manner, as it does not specify terms such as “notice to bidders.”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continued that while he is aware of the fact that an entity such as the Broward Sheriff’s Office (BSO) has a similar process for personal property items which they sell, he was not familiar with any specific County agencies which follow this process.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asked if other cities’ Charters include a dollar amount that may increase over time. Mr. Weiss commented that this would be possible if the Charter refers to a personal property amount which is set by Ordinance and reviewed from time to time by the City Commission. This would mean the Charter would not have to be regularly amended. He suggested that the Charter be updated to include a phrase such as “personal property belonging to the City shall not be sold except as provided by Ordinance,” which would allow the City Commission to address the Ordinance when necessary.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advised that if the Board is in favor of changing language, they should discuss it at tonight’s meeting, followed by a review of draft Charter language at the next meeting which has been drafted by the City Attorney’s Office and provided within the next Agenda. The Board would then determine whether or not to approve the draft language.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recalled that part of Code was rewritten in approximately 2017-2018, and that there was a previous Ordinance which included a provision addressing the disposition of surplus properties. This section was removed from the current Code, and disposition of surplus properties is now internally governed by the City’s Purchasing Manual, which is neither Ordinance nor Resolution.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Vice Chair Fertig stated that the next Agenda should also include a section for public input. Mr. Weiss advised that this Item is included in two separate places on tonight’s Agenda: Item V, which specifically addresses the use, lease, or sale of City property, and Item IX, which provides for general public input. He added that the Board should also schedule times for public hearing and outreach in the future. </w:t>
      </w:r>
    </w:p>
    <w:p>
      <w:pPr>
        <w:spacing w:before="0" w:after="0"/>
        <w:jc w:val="both"/>
        <w:rPr>
          <w:rFonts w:ascii="Arial" w:eastAsia="Arial" w:hAnsi="Arial" w:cs="Arial"/>
          <w:sz w:val="24"/>
          <w:szCs w:val="24"/>
        </w:rPr>
      </w:pPr>
    </w:p>
    <w:p>
      <w:pPr>
        <w:spacing w:before="0" w:after="0"/>
        <w:jc w:val="both"/>
      </w:pPr>
      <w:r>
        <w:rPr>
          <w:rFonts w:ascii="Arial" w:eastAsia="Arial" w:hAnsi="Arial" w:cs="Arial"/>
        </w:rPr>
        <w:t>Attorney Bangel moved on to Section 8.02, which addresses the sale of public lands and public properties to public bodies.</w:t>
      </w:r>
      <w:r>
        <w:rPr>
          <w:rFonts w:ascii="Arial" w:eastAsia="Arial" w:hAnsi="Arial" w:cs="Arial"/>
        </w:rPr>
        <w:t xml:space="preserve">  </w:t>
      </w:r>
      <w:r>
        <w:rPr>
          <w:rFonts w:ascii="Arial" w:eastAsia="Arial" w:hAnsi="Arial" w:cs="Arial"/>
        </w:rPr>
        <w:t xml:space="preserve">This includes sales to the United States, the state of Florida, Counties, Districts, subdivisions, agencies, or any public body, and applies to real or personal property. It is done by passage of a Resolution declaring the intent to sell the property, the price to be paid for it, the public purpose for the use of the property, and designation of a date for a public hearing. Any associated bonds or obligations on the property must be discharged simultaneously.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continued that this Resolution must be published in two issues of a newspaper published in the City. At the public hearing, the terms of the proposal and the use of the property shall be explained to the public, and the public is provided an opportunity to be heard. This Resolution is followed by another Resolution which confirms or repeals the previous Resolution.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noted that the Resolution also refers to making improvements on public property which is used for a public purpose. Attorney Bangel stated it was his belief that this language would authorize improvements to or building upon that public property. Mr. Fajardo agreed with Attorney Bangel’s interpretation of the intent of this language.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 </w:t>
      </w:r>
      <w:r>
        <w:rPr>
          <w:rFonts w:ascii="Arial" w:eastAsia="Arial" w:hAnsi="Arial" w:cs="Arial"/>
        </w:rPr>
        <w:t xml:space="preserve">It was noted that once this land is sold, the City can no longer require that it be used for a public purpose. It was suggested that a deed restriction requiring public purpose use could be attached to the sale. It was also clarified that Section 8.01 addresses the land itself for public purpose, while Section 8.02 allows the grantee to make improvements on the property.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Vice Chair Fertig requested clarification of the entity which sets the purchase price, asking if this should require an appraisal. Attorney Bangel observed that discussions of this price are most likely made on a Staff-to-Staff level, negotiated between City Staff and the other public body, and subject to City Commission approval in the Resolution.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reiterated that he felt the City Commission should be able to place whatever conditions they feel are appropriate on the sale of real or personal property. He noted that a procedure and guidelines can be established as well, such as requiring that the property be used for public purpose or other restrictions or requirements.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further clarified that the Commission should be able to sell or convey City property to another governmental entity under terms and conditions the Commission feels are appropriate. He felt the City Commission should be given as much authority as possible in this area, with possible additional protections, such as public approval or hearings, in cases in which the sale of the public property is permanent.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Attorney Bangel continued that according to Section 8.03, the City can give the state, or another political entity such as the County, land for public right-of-way purposes within the corporate limits. Mr. Grandwilliams pointed out that this type of exchange happens frequently and applies to minuscule parcels that may be used for any number of right-of-way issue, from signage to traffic signals to turn lanes. He felt there should be no additional encumbrances attached to this process.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noted language in this Section referring to “under such terms and conditions as the City Commission, by Resolution, may prescribe,” stating that this is the language he felt should be included in previous Sections as well in order to make the process as simple for the City Commission as possible.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pointed out that in the case of private property in which an easement is required, the subject property is not often a developable parcel. He felt the phrase “for right-of-way purposes” was sufficiently broad to cover all the ways in which a non-vehicle access line may be transferred.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addressed Section 8.04, which addresses the sale of real property to private parties. This Section requires a Resolution describing the land, declaring how it has been used and clarifying why it is desirable to sell, and declaring/determining that its sale is in the best interests of the City. If the property is worth under $10,000, the sale shall be made in cash; if worth more than $10,000, there may be terms which do not exceed 10 years. The City shall sell without a competitive bidding process to the party making the best offer; however, the City may also reject any and all offers at any time.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 sale may not be for less than 75% of the appraised value of the property as determined by the City Commission. The Resolution is published within seven days after its adoption. Offers may include cashier’s check or certified check in an amount of at least 10% of the offer.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Between adoption of the Resolution and the date of sale of the property, taxpayers and registered electors may protest or object to the sale, and the City Commission may rescind its action and repeal the Resolution declaring that the property should be sold. The City may include conditions, limitations, and restrictions on the use of the property in the deed. Additional Resolutions may accept the best offer and authorize execution of a deed. </w:t>
      </w:r>
    </w:p>
    <w:p>
      <w:pPr>
        <w:spacing w:before="0" w:after="0"/>
        <w:jc w:val="both"/>
        <w:rPr>
          <w:rFonts w:ascii="Arial" w:eastAsia="Arial" w:hAnsi="Arial" w:cs="Arial"/>
          <w:sz w:val="24"/>
          <w:szCs w:val="24"/>
        </w:rPr>
      </w:pPr>
    </w:p>
    <w:p>
      <w:pPr>
        <w:numPr>
          <w:ilvl w:val="0"/>
          <w:numId w:val="5"/>
        </w:numPr>
        <w:pBdr>
          <w:left w:val="none" w:sz="0" w:space="17" w:color="auto"/>
        </w:pBdr>
        <w:spacing w:before="0" w:after="0"/>
        <w:ind w:left="1080" w:right="0" w:hanging="720"/>
        <w:jc w:val="both"/>
        <w:rPr>
          <w:rFonts w:ascii="Arial" w:eastAsia="Arial" w:hAnsi="Arial" w:cs="Arial"/>
          <w:b/>
          <w:bCs/>
        </w:rPr>
      </w:pPr>
      <w:r>
        <w:rPr>
          <w:rFonts w:ascii="Arial" w:eastAsia="Arial" w:hAnsi="Arial" w:cs="Arial"/>
          <w:b/>
          <w:bCs/>
        </w:rPr>
        <w:t>PUBLIC INPUT ON THE ISSUE OF USE / LEASE / SALE OF CITY PROPERTY</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 this time Chair Stern opened public comment.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Jim Concannon, private citizen, expressed concern that the Sections Attorney Bangel had read regarding the necessity of a competitive bid process were contradictory to one another. Mr. Grandwilliams observed that this is written in most cases as a double negative: the City may not sell unless there is a competitive bidding process. Attorney Bangel also noted that this may refer to receiving bids without a formal invitation to make these bids. It was suggested that this be clarified.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also noted that in the case of real property sold to private persons, it may be best to open up the bid process so any entity may bid on the property, not only those who are being solicited by the City for bids. </w:t>
      </w:r>
    </w:p>
    <w:p>
      <w:pPr>
        <w:spacing w:before="0" w:after="0"/>
        <w:jc w:val="both"/>
        <w:rPr>
          <w:rFonts w:ascii="Arial" w:eastAsia="Arial" w:hAnsi="Arial" w:cs="Arial"/>
          <w:sz w:val="24"/>
          <w:szCs w:val="24"/>
        </w:rPr>
      </w:pPr>
    </w:p>
    <w:p>
      <w:pPr>
        <w:spacing w:before="0" w:after="0"/>
        <w:jc w:val="both"/>
      </w:pPr>
      <w:r>
        <w:rPr>
          <w:rFonts w:ascii="Arial" w:eastAsia="Arial" w:hAnsi="Arial" w:cs="Arial"/>
        </w:rPr>
        <w:t>Commissioner Sorensen requested additional clarification of what is meant by the term “competitive bidding.” Attorney Bangel explained that competitive bidding uses sealed bids. In addition, should the City Commission place conditions, restrictions, or limitations on the use of the property, this must be taken into consideration along with the monetary offer.</w:t>
      </w:r>
    </w:p>
    <w:p>
      <w:pPr>
        <w:spacing w:before="0" w:after="0"/>
        <w:jc w:val="both"/>
        <w:rPr>
          <w:rFonts w:ascii="Arial" w:eastAsia="Arial" w:hAnsi="Arial" w:cs="Arial"/>
          <w:sz w:val="24"/>
          <w:szCs w:val="24"/>
        </w:rPr>
      </w:pPr>
    </w:p>
    <w:p>
      <w:pPr>
        <w:spacing w:before="0" w:after="0"/>
        <w:jc w:val="both"/>
      </w:pPr>
      <w:r>
        <w:rPr>
          <w:rFonts w:ascii="Arial" w:eastAsia="Arial" w:hAnsi="Arial" w:cs="Arial"/>
        </w:rPr>
        <w:t>Chair Stern commented that the Board may wish to hear additional guidance from a member of the City’s Purchasing Department, as that Department regularly deals with these issues. It was also suggested that the Charter could be simplified so the public can more easily understand it. Chair Stern noted that Department heads who deal with the issues discussed by the Board may be able to recommend clearer language for the Charter.</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Mary Fertig, private citizen, stated that she represents a group called Lauderdale Tomorrow, which takes an interest in public lands. In 2016, this group circulated a petition recommending that all public coastal lands in Fort Lauderdale between the Intracoastal Waterway and the Atlantic Ocean be limited to public uses and services, with private development prohibited. The petition received over 1000 signatures and was certified by the Broward County Supervisor of Elections, although the petition was not addressed by the City Commission as an agenda item.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Ms. Fertig continued that in 2004, a group of residents had supported a Charter Amendment addressing the City’s parks, although not all of these properties were zoned Parks at the time. She noted that her organization had compiled a list of these properties, which are currently being rezoned as Park space. </w:t>
      </w:r>
    </w:p>
    <w:p>
      <w:pPr>
        <w:spacing w:before="0" w:after="0"/>
        <w:jc w:val="both"/>
        <w:rPr>
          <w:rFonts w:ascii="Arial" w:eastAsia="Arial" w:hAnsi="Arial" w:cs="Arial"/>
          <w:sz w:val="24"/>
          <w:szCs w:val="24"/>
        </w:rPr>
      </w:pPr>
    </w:p>
    <w:p>
      <w:pPr>
        <w:spacing w:before="0" w:after="0"/>
        <w:jc w:val="both"/>
      </w:pPr>
      <w:r>
        <w:rPr>
          <w:rFonts w:ascii="Arial" w:eastAsia="Arial" w:hAnsi="Arial" w:cs="Arial"/>
        </w:rPr>
        <w:t>Ms. Fertig offered the following suggestions addressing the use of public lands:</w:t>
      </w:r>
    </w:p>
    <w:p>
      <w:pPr>
        <w:numPr>
          <w:ilvl w:val="0"/>
          <w:numId w:val="6"/>
        </w:numPr>
        <w:pBdr>
          <w:left w:val="none" w:sz="0" w:space="7" w:color="auto"/>
        </w:pBdr>
        <w:spacing w:before="0"/>
        <w:ind w:left="720" w:right="0" w:hanging="334"/>
        <w:jc w:val="both"/>
      </w:pPr>
      <w:r>
        <w:rPr>
          <w:rFonts w:ascii="Arial" w:eastAsia="Arial" w:hAnsi="Arial" w:cs="Arial"/>
        </w:rPr>
        <w:t>Amend the City’s Charter to require that lands purchased pursuant to a vote by City residents may only be licensed, leased, or sold by public vote</w:t>
      </w:r>
    </w:p>
    <w:p>
      <w:pPr>
        <w:numPr>
          <w:ilvl w:val="0"/>
          <w:numId w:val="6"/>
        </w:numPr>
        <w:pBdr>
          <w:left w:val="none" w:sz="0" w:space="7" w:color="auto"/>
        </w:pBdr>
        <w:spacing w:after="0"/>
        <w:ind w:left="720" w:right="0" w:hanging="334"/>
        <w:jc w:val="both"/>
      </w:pPr>
      <w:r>
        <w:rPr>
          <w:rFonts w:ascii="Arial" w:eastAsia="Arial" w:hAnsi="Arial" w:cs="Arial"/>
        </w:rPr>
        <w:t>There should be a definition of public lands as well as definition of public use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requested clarification that Lauderdale Tomorrow is agreeable to commercial concessions on public land as long as they remain open to the public. Ms. Fertig confirmed this. </w:t>
      </w:r>
    </w:p>
    <w:p>
      <w:pPr>
        <w:spacing w:before="0" w:after="0"/>
        <w:jc w:val="both"/>
        <w:rPr>
          <w:rFonts w:ascii="Arial" w:eastAsia="Arial" w:hAnsi="Arial" w:cs="Arial"/>
          <w:sz w:val="24"/>
          <w:szCs w:val="24"/>
        </w:rPr>
      </w:pPr>
    </w:p>
    <w:p>
      <w:pPr>
        <w:spacing w:before="0" w:after="0"/>
        <w:jc w:val="both"/>
      </w:pPr>
      <w:r>
        <w:rPr>
          <w:rFonts w:ascii="Arial" w:eastAsia="Arial" w:hAnsi="Arial" w:cs="Arial"/>
        </w:rPr>
        <w:t>Ms. Fertig continued that she felt there should be some overriding concepts in the Charter which the public can easily understand and agree upon. She expressed concerns for public lands which are not being protected, and requested clarification of the percentage of public lands in Fort Lauderdale.</w:t>
      </w:r>
      <w:r>
        <w:rPr>
          <w:rFonts w:ascii="Arial" w:eastAsia="Arial" w:hAnsi="Arial" w:cs="Arial"/>
        </w:rPr>
        <w:t xml:space="preserve">  </w:t>
      </w:r>
    </w:p>
    <w:p>
      <w:pPr>
        <w:spacing w:before="0" w:after="0"/>
        <w:jc w:val="both"/>
        <w:rPr>
          <w:rFonts w:ascii="Arial" w:eastAsia="Arial" w:hAnsi="Arial" w:cs="Arial"/>
          <w:sz w:val="24"/>
          <w:szCs w:val="24"/>
        </w:rPr>
      </w:pPr>
    </w:p>
    <w:p>
      <w:pPr>
        <w:spacing w:before="0" w:after="0"/>
        <w:jc w:val="both"/>
      </w:pPr>
      <w:r>
        <w:rPr>
          <w:rFonts w:ascii="Arial" w:eastAsia="Arial" w:hAnsi="Arial" w:cs="Arial"/>
        </w:rPr>
        <w:t>Ms. Fertig also proposed that if the City Commission did not wish to hold a public vote on this issue, they could instead require a unanimous or supermajority vote to leave this issue in the Commission’s own hands.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Barbie Pearson, private citizen and member of Lauderdale Tomorrow, provided the Board with a copy of the list of City parks and their zoning, including their acreage as well as joint uses with schools, marinas, beaches, preserves, or other entities. Ms. Fertig asserted that the group wished the City Commission to be required to vote unanimously on park issues to provide protections for those spaces.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noted that the Charter requires a unanimous vote of the City Commission if they wish to lease or otherwise dispose of public lands. By instead entering into licensing agreements, the Commission was able to bypass the intent of this Charter requirement. She cited examples of this, including Lockhart Stadium, Snyder Park, and the One Stop Shop. Ms. Fertig explained that her concern was not for the projects themselves, but for the lack of definition of “public use” and “public lands.”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requested clarification of whether or not private airplane hangars constituted public use. Mr. Fajardo explained that the use of the Fort Lauderdale Executive Airport (FXE) is different from the use of other public lands due to the involvement of the Federal Aviation Administration (FAA). Mr. Grandwilliams explained that he wished to ensure that improvements to public lands by private operators may continue. He pointed out that public access may be limited for some types of uses, such as water treatment plants.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reiterated that when the City Commission allowing the licensing rather than the leasing of public lands, the City’s Charter was circumvented. There was consensus among the Board members to address this further.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Leann Barber, president of the Flagler Village Civic Association, stated that the essence of the issue is that licensing acts as a loophole within the Charter, including some licensing agreements which exist within public parks. She cited the licensing of a portion of Snyder Park as an example, pointing out that this means the operator now has discretion over who is allowed into the parcel they have licensed. She recommended additional discussion of what constitutes public use, expressing concern with allowing a private operator to control space that was previously open to the public.</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Ms. Fertig noted that the public use, in the case of the portion of Snyder Park, is the pickleball courts, while the private use may include the sale of concessions. Mr. Fajardo pointed out that concessions are considered an ancillary use to the pickleball courts. </w:t>
      </w:r>
    </w:p>
    <w:p>
      <w:pPr>
        <w:spacing w:before="0" w:after="0"/>
        <w:jc w:val="both"/>
        <w:rPr>
          <w:rFonts w:ascii="Arial" w:eastAsia="Arial" w:hAnsi="Arial" w:cs="Arial"/>
          <w:sz w:val="24"/>
          <w:szCs w:val="24"/>
        </w:rPr>
      </w:pPr>
    </w:p>
    <w:p>
      <w:pPr>
        <w:spacing w:before="0" w:after="0"/>
        <w:jc w:val="both"/>
      </w:pPr>
      <w:r>
        <w:rPr>
          <w:rFonts w:ascii="Arial" w:eastAsia="Arial" w:hAnsi="Arial" w:cs="Arial"/>
        </w:rPr>
        <w:t>It was asked if the pickleball courts are open to the public. It was clarified that use of the courts requires membership, and that the operator plans to hold tournaments in that space. Not all details have been clarified thus far, including whether or not the general public may use the space when it is not needed by the operator. Ms. Barber pointed out that the licensed operator is a for-profit company and it is not yet known what they may charge to use the courts.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emphasized the importance of looking at the terms “license” and “lease.” It was reiterated that while a lease agreement would require an extraordinary vote of the City Commission, a license agreement would only require a majority vote. Chair Stern added that another concern for licensing is the existence of 99-year agreements, which the Charter does not permit for leased land. She concluded that licensing should be addressed in the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commented that he did not believe a legal distinction between lease and license was important at this time, as the intent for both is the same and should require the same voting provisions, such as unanimity or supermajority, in the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did not feel there is a fundamental issue with the granting of a 99-year lease other than that the appropriate Charter Section specifically cites a 50-year time frame instead. Chair Stern explained that if the agreement were brought forward as a lease, it would be required to abide by the terms of the Charter; however, a licensing agreement would not require the same terms.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Vice Chair Fertig stated that the issue with a 99-year agreement is that the property in question is public, and it may not be appropriate to lease or license a public property to a private operator for that length of time. He added that under common law, a 99-year lease is equivalent to a fee simple, which essentially conveys the use of a public property under the guise of a lease. Mr. Weiss added that if a developer wishes to improve a piece of property at great expense, it may be that they can only secure financing if they can show a long-term lease. He felt the type of approvals necessary for this kind of agreement should be adjusted based upon the length of the lease: for example, a 99-year lease may need to require a unanimous vote, a supermajority vote, or voter approval.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recommended that further clarification of the licensing issue be added to future Agendas under the Unfinished Business item.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Fort Lauderdale Mayor Dean Trantalis commented that the Board members and public have raised valid concerns and points regarding the use of public lands. He characterized the definition of “public purpose” as a slippery slope, pointing out that there will always be debate about what constitutes this type of use. He recommended against tying the hands of the City Commission in the future by requiring a supermajority or a public referendum for all acts involving the disposition of public lands.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With regard to the Snyder Park issue, Mayor Trantalis continued that the City Commission had voted to approve the development of a portion of the park because they identified an operator that could make changes the City did not have the capacity to make on its own. </w:t>
      </w:r>
    </w:p>
    <w:p>
      <w:pPr>
        <w:spacing w:before="0" w:after="0"/>
        <w:jc w:val="both"/>
        <w:rPr>
          <w:rFonts w:ascii="Arial" w:eastAsia="Arial" w:hAnsi="Arial" w:cs="Arial"/>
          <w:sz w:val="24"/>
          <w:szCs w:val="24"/>
        </w:rPr>
      </w:pPr>
    </w:p>
    <w:p>
      <w:pPr>
        <w:spacing w:before="0" w:after="0"/>
        <w:jc w:val="both"/>
      </w:pPr>
      <w:r>
        <w:rPr>
          <w:rFonts w:ascii="Arial" w:eastAsia="Arial" w:hAnsi="Arial" w:cs="Arial"/>
        </w:rPr>
        <w:t>Chair Stern pointed out that some of the City’s license agreements do not require the payment of rent. Mayor Trantalis confirmed that, for example, only nominal rent is charged for Lockhart Stadium; however, that property has brought benefits to the City, including provision of recreational facilities. He concluded that there is a need to define public purpose, but did not know if the Board wished to define this term themselves or to leave the definition to the discretion of the Commission.</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advised that the term “public purpose” has been defined by the courts over a number of years and is subject to change over time on a case-by-case basis, typically with discretion granted to the elected body. Vice Chair Fertig emphasized that the definition of public purpose is controversial in Fort Lauderdale, and suggested that the Charter allow citizens to vote upon whether or not they wish to accept a particular public purpose use. He was in favor of determining a definition for the term.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Sorensen proposed that the City Attorney’s Office be asked to provide potential definitions for public land and public use. Chair Stern felt this should involve City Staff members with expertise on public land and public use. Mayor Trantalis replied that he has spoken with Staff members who have expertise in these areas in the past, and reiterated that the definitions will need to retain some level of discretion in order to avoid tying the hands of elected officials in the future. </w:t>
      </w:r>
    </w:p>
    <w:p>
      <w:pPr>
        <w:spacing w:before="0" w:after="0"/>
        <w:jc w:val="both"/>
        <w:rPr>
          <w:rFonts w:ascii="Arial" w:eastAsia="Arial" w:hAnsi="Arial" w:cs="Arial"/>
          <w:sz w:val="24"/>
          <w:szCs w:val="24"/>
        </w:rPr>
      </w:pPr>
    </w:p>
    <w:p>
      <w:pPr>
        <w:spacing w:before="0" w:after="0"/>
        <w:jc w:val="both"/>
      </w:pPr>
      <w:r>
        <w:rPr>
          <w:rFonts w:ascii="Arial" w:eastAsia="Arial" w:hAnsi="Arial" w:cs="Arial"/>
        </w:rPr>
        <w:t>Mr. Weiss noted that these definitions exist in Florida Statutes, which could provide a starting point. He suggested that if it is too difficult to define public purpose, it is possible to instead define what is not public purpose. It was also noted that the Code of Federal Regulations includes these definitions and could serve as a starting point for discussions.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William Brown, private citizen, stated that Fort Lauderdale cannot restrict itself to the point where its elected officials can no longer make decisions. This would undermine the City’s status as a progressive municipality. He also noted that emerging technologies may make formerly unusable sites usable, and recommended that any changes to the Charter’s language be sufficiently broad to keep up with current times.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 Board further discussed the potential utility of private development on public sites, including issues that are specific to certain developments in the City, private development that benefits the City’s residents, and projects that may only be financed through a 99-year lease.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commented that any change to the language of the Charter should be made because something is currently broken, undefined, or posing an ongoing problem. Vice Chair Fertig asserted that the City is currently facing “all of the above” issues. He felt the Board should look into the Charter’s existing language and determine whether or not it can be improved. Chair Stern pointed out that the Board will not have the final say on these changes: they are asked to make recommendations to the City Commission, which will decide how they wish to proceed.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stated that if public purpose remains undefined, “everything that exists in Florida Statute prevails.” The City’s absence of definition would automatically revert to the Statutes’ definition. </w:t>
      </w:r>
    </w:p>
    <w:p>
      <w:pPr>
        <w:spacing w:before="0" w:after="0"/>
        <w:jc w:val="both"/>
        <w:rPr>
          <w:rFonts w:ascii="Arial" w:eastAsia="Arial" w:hAnsi="Arial" w:cs="Arial"/>
          <w:sz w:val="24"/>
          <w:szCs w:val="24"/>
        </w:rPr>
      </w:pPr>
    </w:p>
    <w:p>
      <w:pPr>
        <w:numPr>
          <w:ilvl w:val="0"/>
          <w:numId w:val="7"/>
        </w:numPr>
        <w:pBdr>
          <w:left w:val="none" w:sz="0" w:space="12" w:color="auto"/>
        </w:pBdr>
        <w:spacing w:before="0" w:after="0"/>
        <w:ind w:left="1080" w:right="0" w:hanging="720"/>
        <w:jc w:val="both"/>
        <w:rPr>
          <w:rFonts w:ascii="Arial" w:eastAsia="Arial" w:hAnsi="Arial" w:cs="Arial"/>
          <w:b/>
          <w:bCs/>
        </w:rPr>
      </w:pPr>
      <w:r>
        <w:rPr>
          <w:rFonts w:ascii="Arial" w:eastAsia="Arial" w:hAnsi="Arial" w:cs="Arial"/>
          <w:b/>
          <w:bCs/>
        </w:rPr>
        <w:t>CHARTER REVISION BOARD DISCUSSION AND POSSIBLE DECISION AS TO WHETHER CHANGES IN THE CHARTER ARE NEEDED IN THE AREA OF CITY PROPERTY USAGE / LEASE / SALE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As there was consensus among the Board members that the loophole related to the terms “lease” and “license” should be addressed, Mr. Weiss suggested that the City Attorney’s Office draft language that would close this loophole, which could be presented to the public at a subsequent meeting. Vice Chair Fertig stated that he would also like the City Attorney’s Office attempt to define the terms “public purpose” and “public use.”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Vice Chair Fertig asked if the Board is interested in discussion of limiting City leases to 50-year terms, as currently stated in the Charter. Mr. Weiss asserted that these leases, which permit automatic renewal, should not be allowed.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advised that there are two Charter Sections related to this issue: one Section is specific to the Bahia Mar property and states that no such lease shall be for an initial term of longer than 50 years, while the more general Section 8.09 refers to leases of more than one year and not more than 50 [years]. Vice Chair Fertig explained that his recommendation was to include a line in Section 8.09 which would prevent automatic renewal of these leases.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added that addressing the issues of license and lease agreements may be as simple as adding a reference to the term “license.” Mr. Weiss recommended that additional terms such as “permit” and “use agreement” may need to be added as well in order to ensure the loophole is closed. </w:t>
      </w:r>
    </w:p>
    <w:p>
      <w:pPr>
        <w:spacing w:before="0" w:after="0"/>
        <w:jc w:val="both"/>
        <w:rPr>
          <w:rFonts w:ascii="Arial" w:eastAsia="Arial" w:hAnsi="Arial" w:cs="Arial"/>
          <w:sz w:val="24"/>
          <w:szCs w:val="24"/>
        </w:rPr>
      </w:pPr>
    </w:p>
    <w:p>
      <w:pPr>
        <w:numPr>
          <w:ilvl w:val="0"/>
          <w:numId w:val="8"/>
        </w:numPr>
        <w:pBdr>
          <w:left w:val="none" w:sz="0" w:space="8" w:color="auto"/>
        </w:pBdr>
        <w:spacing w:before="0" w:after="0"/>
        <w:ind w:left="1080" w:right="0" w:hanging="720"/>
        <w:jc w:val="both"/>
        <w:rPr>
          <w:rFonts w:ascii="Arial" w:eastAsia="Arial" w:hAnsi="Arial" w:cs="Arial"/>
          <w:b/>
          <w:bCs/>
        </w:rPr>
      </w:pPr>
      <w:r>
        <w:rPr>
          <w:rFonts w:ascii="Arial" w:eastAsia="Arial" w:hAnsi="Arial" w:cs="Arial"/>
          <w:b/>
          <w:bCs/>
        </w:rPr>
        <w:t>UNFINISHED BUSINESS</w:t>
      </w:r>
    </w:p>
    <w:p>
      <w:pPr>
        <w:spacing w:before="0" w:after="0"/>
        <w:jc w:val="both"/>
        <w:rPr>
          <w:rFonts w:ascii="Arial" w:eastAsia="Arial" w:hAnsi="Arial" w:cs="Arial"/>
          <w:sz w:val="24"/>
          <w:szCs w:val="24"/>
        </w:rPr>
      </w:pPr>
    </w:p>
    <w:p>
      <w:pPr>
        <w:spacing w:before="0" w:after="0"/>
        <w:ind w:left="1080"/>
        <w:jc w:val="both"/>
      </w:pPr>
      <w:r>
        <w:rPr>
          <w:rFonts w:ascii="Arial" w:eastAsia="Arial" w:hAnsi="Arial" w:cs="Arial"/>
          <w:b/>
          <w:bCs/>
        </w:rPr>
        <w:t>ETHICS / CONFLICTS OF INTEREST (PENDING PUBLIC INPUT AT WORKSHOPS)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This Item was not discussed.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The following Item was taken out of order on the Agenda.</w:t>
      </w:r>
    </w:p>
    <w:p>
      <w:pPr>
        <w:spacing w:before="0" w:after="0"/>
        <w:jc w:val="both"/>
        <w:rPr>
          <w:rFonts w:ascii="Arial" w:eastAsia="Arial" w:hAnsi="Arial" w:cs="Arial"/>
          <w:sz w:val="24"/>
          <w:szCs w:val="24"/>
        </w:rPr>
      </w:pPr>
    </w:p>
    <w:p>
      <w:pPr>
        <w:numPr>
          <w:ilvl w:val="0"/>
          <w:numId w:val="9"/>
        </w:numPr>
        <w:pBdr>
          <w:left w:val="none" w:sz="0" w:space="17" w:color="auto"/>
        </w:pBdr>
        <w:spacing w:before="0" w:after="0"/>
        <w:ind w:left="1080" w:right="0" w:hanging="720"/>
        <w:jc w:val="both"/>
        <w:rPr>
          <w:rFonts w:ascii="Arial" w:eastAsia="Arial" w:hAnsi="Arial" w:cs="Arial"/>
          <w:b/>
          <w:bCs/>
        </w:rPr>
      </w:pPr>
      <w:r>
        <w:rPr>
          <w:rFonts w:ascii="Arial" w:eastAsia="Arial" w:hAnsi="Arial" w:cs="Arial"/>
          <w:b/>
          <w:bCs/>
        </w:rPr>
        <w:t>DISCUSSION OF TOPIC FOR NEXT MEETING – JULY 6</w:t>
      </w:r>
      <w:r>
        <w:rPr>
          <w:rFonts w:ascii="Arial" w:eastAsia="Arial" w:hAnsi="Arial" w:cs="Arial"/>
          <w:b/>
          <w:bCs/>
          <w:vertAlign w:val="superscript"/>
        </w:rPr>
        <w:t>TH</w:t>
      </w:r>
      <w:r>
        <w:rPr>
          <w:rFonts w:ascii="Arial" w:eastAsia="Arial" w:hAnsi="Arial" w:cs="Arial"/>
          <w:b/>
          <w:bCs/>
        </w:rPr>
        <w:t xml:space="preserv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advised that the next meeting will focus on election laws. She recommended that Staff reach out to Senior Assistant Broward County Attorney Nathaniel Klitsberg and invite him to speak at the July 6, 2023 meeting due to his expertise in this area.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asked if the City Attorney’s Office clearly understood the issues with the most recent Fort Lauderdale elections, including the language which contributed to these issues. Attorney Bangel confirmed this. Chair Stern pointed out that Attorney Klitsberg, who represents the Broward County Supervisor of Elections, has raised points which were contrary to points made by the City Attorney regarding that election, and reiterated that his expertise would be valuable.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recalled that at a previous meeting, he had created a chart of the Charter Sections which conflict with existing law, special acts, or other provisions. Mr. Weiss directed Attorney Bangel to make a list of the Sections in this memo which relate to election law and send them to Assistant Neighbor Support Manager Junia Robinson so they will be included on the Board’s next Agenda.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advised that she would like the format of the July 6 meeting to be similar to that of the May 4 meeting, including a presentation by Attorney Klitsberg. </w:t>
      </w:r>
    </w:p>
    <w:p>
      <w:pPr>
        <w:spacing w:before="0" w:after="0"/>
        <w:jc w:val="both"/>
        <w:rPr>
          <w:rFonts w:ascii="Arial" w:eastAsia="Arial" w:hAnsi="Arial" w:cs="Arial"/>
          <w:sz w:val="24"/>
          <w:szCs w:val="24"/>
        </w:rPr>
      </w:pPr>
    </w:p>
    <w:p>
      <w:pPr>
        <w:numPr>
          <w:ilvl w:val="0"/>
          <w:numId w:val="10"/>
        </w:numPr>
        <w:pBdr>
          <w:left w:val="none" w:sz="0" w:space="3" w:color="auto"/>
        </w:pBdr>
        <w:spacing w:before="0" w:after="0"/>
        <w:ind w:left="1080" w:right="0" w:hanging="720"/>
        <w:jc w:val="both"/>
        <w:rPr>
          <w:rFonts w:ascii="Arial" w:eastAsia="Arial" w:hAnsi="Arial" w:cs="Arial"/>
          <w:b/>
          <w:bCs/>
        </w:rPr>
      </w:pPr>
      <w:r>
        <w:rPr>
          <w:rFonts w:ascii="Arial" w:eastAsia="Arial" w:hAnsi="Arial" w:cs="Arial"/>
          <w:b/>
          <w:bCs/>
        </w:rPr>
        <w:t>DISCUSSION RE: SCHEDULING OF PUBLIC WORKSHOPS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stated that the Board would not schedule public workshops before autumn 2023. It was noted that the Board will continue to entertain public comment on specific and general items at their regular meetings.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William Brown, private citizen, stated that he felt it would be beneficial to wait until the Board has finished its work so they can make a presentation to the Council of Fort Lauderdale Civic Associations as well as a separate workshop for the general public. This would afford the public an opportunity to see the Board’s final executive summary of what will be proposed to the City Commission.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added that in the past, the Board made a number of presentations to various City neighborhoods as well. She emphasized that there is a great deal more business to be discussed before the Board’s work is complete, and recalled that a previous iteration of the Board in 2017 had discussed making presentations at each City Commissioner’s pre-agenda district meeting. </w:t>
      </w:r>
    </w:p>
    <w:p>
      <w:pPr>
        <w:spacing w:before="0" w:after="0"/>
        <w:jc w:val="both"/>
        <w:rPr>
          <w:rFonts w:ascii="Arial" w:eastAsia="Arial" w:hAnsi="Arial" w:cs="Arial"/>
          <w:sz w:val="24"/>
          <w:szCs w:val="24"/>
        </w:rPr>
      </w:pPr>
    </w:p>
    <w:p>
      <w:pPr>
        <w:numPr>
          <w:ilvl w:val="0"/>
          <w:numId w:val="11"/>
        </w:numPr>
        <w:pBdr>
          <w:left w:val="none" w:sz="0" w:space="12" w:color="auto"/>
        </w:pBdr>
        <w:spacing w:before="0" w:after="0"/>
        <w:ind w:left="1080" w:right="0" w:hanging="720"/>
        <w:jc w:val="both"/>
        <w:rPr>
          <w:rFonts w:ascii="Arial" w:eastAsia="Arial" w:hAnsi="Arial" w:cs="Arial"/>
          <w:b/>
          <w:bCs/>
        </w:rPr>
      </w:pPr>
      <w:r>
        <w:rPr>
          <w:rFonts w:ascii="Arial" w:eastAsia="Arial" w:hAnsi="Arial" w:cs="Arial"/>
          <w:b/>
          <w:bCs/>
        </w:rPr>
        <w:t>GENERAL PUBLIC INPUT</w:t>
      </w:r>
    </w:p>
    <w:p>
      <w:pPr>
        <w:spacing w:before="0" w:after="0"/>
        <w:jc w:val="both"/>
        <w:rPr>
          <w:rFonts w:ascii="Arial" w:eastAsia="Arial" w:hAnsi="Arial" w:cs="Arial"/>
          <w:sz w:val="24"/>
          <w:szCs w:val="24"/>
        </w:rPr>
      </w:pPr>
    </w:p>
    <w:p>
      <w:pPr>
        <w:spacing w:before="0" w:after="0"/>
        <w:jc w:val="both"/>
      </w:pPr>
      <w:r>
        <w:rPr>
          <w:rFonts w:ascii="Arial" w:eastAsia="Arial" w:hAnsi="Arial" w:cs="Arial"/>
        </w:rPr>
        <w:t>None.</w:t>
      </w:r>
    </w:p>
    <w:p>
      <w:pPr>
        <w:spacing w:before="0" w:after="0"/>
        <w:jc w:val="both"/>
        <w:rPr>
          <w:rFonts w:ascii="Arial" w:eastAsia="Arial" w:hAnsi="Arial" w:cs="Arial"/>
          <w:sz w:val="24"/>
          <w:szCs w:val="24"/>
        </w:rPr>
      </w:pPr>
    </w:p>
    <w:p>
      <w:pPr>
        <w:spacing w:before="0" w:after="0"/>
        <w:jc w:val="both"/>
      </w:pPr>
      <w:r>
        <w:rPr>
          <w:rFonts w:ascii="Arial" w:eastAsia="Arial" w:hAnsi="Arial" w:cs="Arial"/>
        </w:rPr>
        <w:t>Mr. Fajardo recalled that at a recent City Commission meeting, comments were made from the dais regarding items to be provided to the Charter Review Board by the Commission. Chair Stern replied that while the Board had not received these items from the Commission, the City Attorney’s Office had provided them with a document listing items the Commission would like the Board to discuss. Mr. Weiss added that once the Board has covered the issues they previously identified for discussion, he would like them to undertake a comprehensive review of the Charter from beginning to end.</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There being no further business to come before the Board at this time, the meeting was adjourned at 7:54 p.m. </w:t>
      </w:r>
    </w:p>
    <w:p>
      <w:pPr>
        <w:spacing w:before="0" w:after="0"/>
        <w:jc w:val="both"/>
        <w:rPr>
          <w:rFonts w:ascii="Arial" w:eastAsia="Arial" w:hAnsi="Arial" w:cs="Arial"/>
          <w:sz w:val="24"/>
          <w:szCs w:val="24"/>
        </w:rPr>
      </w:pPr>
    </w:p>
    <w:p>
      <w:pPr>
        <w:spacing w:before="0" w:after="0"/>
        <w:jc w:val="both"/>
      </w:pPr>
      <w:r>
        <w:rPr>
          <w:rFonts w:ascii="Arial" w:eastAsia="Arial" w:hAnsi="Arial" w:cs="Arial"/>
        </w:rPr>
        <w:t>Any written public comments made 48 hours prior to the meeting regarding items discussed during the proceedings have been attached hereto.</w:t>
      </w:r>
    </w:p>
    <w:p>
      <w:pPr>
        <w:spacing w:before="0" w:after="0"/>
        <w:jc w:val="both"/>
      </w:pPr>
      <w:r>
        <w:rPr>
          <w:rFonts w:ascii="Arial" w:eastAsia="Arial" w:hAnsi="Arial" w:cs="Arial"/>
        </w:rPr>
        <w:t xml:space="preserve">                                                                                                                                              </w:t>
      </w:r>
    </w:p>
    <w:p>
      <w:pPr>
        <w:spacing w:before="0" w:after="0"/>
        <w:jc w:val="both"/>
        <w:rPr>
          <w:sz w:val="20"/>
          <w:szCs w:val="20"/>
        </w:rPr>
      </w:pPr>
      <w:r>
        <w:rPr>
          <w:rFonts w:ascii="Arial" w:eastAsia="Arial" w:hAnsi="Arial" w:cs="Arial"/>
          <w:sz w:val="20"/>
          <w:szCs w:val="20"/>
        </w:rPr>
        <w:t>[Minutes prepared by K. McGuire, Prototype, Inc.]</w:t>
      </w:r>
    </w:p>
    <w:sectPr>
      <w:headerReference w:type="default" r:id="rId5"/>
      <w:type w:val="nextPage"/>
      <w:pgSz w:w="12240" w:h="15840"/>
      <w:pgMar w:top="1440" w:right="1440" w:bottom="1440" w:left="1440"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rPr>
        <w:rFonts w:ascii="Arial" w:eastAsia="Arial" w:hAnsi="Arial" w:cs="Arial"/>
      </w:rPr>
      <w:t>Charter Revision Board</w:t>
    </w:r>
  </w:p>
  <w:p>
    <w:pPr>
      <w:spacing w:before="0" w:after="0"/>
    </w:pPr>
    <w:r>
      <w:rPr>
        <w:rFonts w:ascii="Arial" w:eastAsia="Arial" w:hAnsi="Arial" w:cs="Arial"/>
      </w:rPr>
      <w:t>June 1, 2023</w:t>
    </w:r>
  </w:p>
  <w:p>
    <w:pPr>
      <w:spacing w:before="0" w:after="0"/>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14</w:t>
    </w:r>
    <w:r>
      <w:rPr>
        <w:rFonts w:ascii="Arial" w:eastAsia="Arial" w:hAnsi="Arial" w:cs="Arial"/>
      </w:rPr>
      <w:fldChar w:fldCharType="end"/>
    </w:r>
  </w:p>
  <w:p>
    <w:pPr>
      <w:spacing w:before="0" w:after="0"/>
      <w:rPr>
        <w:rFonts w:ascii="Arial" w:eastAsia="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2"/>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3"/>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4"/>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5"/>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hybridMultilevel"/>
    <w:tmpl w:val="000000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00000007"/>
    <w:lvl w:ilvl="0">
      <w:start w:val="6"/>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7"/>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0"/>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8"/>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9"/>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